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color w:val="101620"/>
          <w:sz w:val="40"/>
        </w:rPr>
        <w:t>Proposta comercial — FROID Psicossocial</w:t>
      </w:r>
    </w:p>
    <w:p>
      <w:pPr>
        <w:spacing w:after="40"/>
      </w:pPr>
      <w:r>
        <w:rPr>
          <w:rFonts w:ascii="Calibri" w:hAnsi="Calibri"/>
          <w:b/>
        </w:rPr>
        <w:t>Para:</w:t>
      </w:r>
      <w:r>
        <w:rPr>
          <w:rFonts w:ascii="Calibri" w:hAnsi="Calibri"/>
        </w:rPr>
        <w:t xml:space="preserve"> TATICCA Auditores Independentes</w:t>
      </w:r>
    </w:p>
    <w:p>
      <w:pPr>
        <w:spacing w:after="40"/>
      </w:pPr>
      <w:r>
        <w:rPr>
          <w:rFonts w:ascii="Calibri" w:hAnsi="Calibri"/>
          <w:b/>
        </w:rPr>
        <w:t>De:</w:t>
      </w:r>
      <w:r>
        <w:rPr>
          <w:rFonts w:ascii="Calibri" w:hAnsi="Calibri"/>
        </w:rPr>
        <w:t xml:space="preserve"> FROID</w:t>
      </w:r>
    </w:p>
    <w:p>
      <w:pPr>
        <w:spacing w:after="40"/>
      </w:pPr>
      <w:r>
        <w:rPr>
          <w:rFonts w:ascii="Calibri" w:hAnsi="Calibri"/>
          <w:b/>
        </w:rPr>
        <w:t>Data:</w:t>
      </w:r>
      <w:r>
        <w:rPr>
          <w:rFonts w:ascii="Calibri" w:hAnsi="Calibri"/>
        </w:rPr>
        <w:t xml:space="preserve"> 28 de agosto de 2026</w:t>
      </w:r>
    </w:p>
    <w:p>
      <w:pPr>
        <w:spacing w:after="40"/>
      </w:pPr>
      <w:r>
        <w:rPr>
          <w:rFonts w:ascii="Calibri" w:hAnsi="Calibri"/>
          <w:b/>
        </w:rPr>
        <w:t>Validade desta proposta:</w:t>
      </w:r>
      <w:r>
        <w:rPr>
          <w:rFonts w:ascii="Calibri" w:hAnsi="Calibri"/>
        </w:rPr>
        <w:t xml:space="preserve"> 30 dias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Antes de enviar, decidir:</w:t>
      </w:r>
      <w:r>
        <w:rPr>
          <w:rFonts w:ascii="Calibri" w:hAnsi="Calibri"/>
          <w:color w:val="A2570C"/>
          <w:sz w:val="20"/>
        </w:rPr>
        <w:t xml:space="preserve"> a marca do canal e a forma de faturamento (item 8), a forma de pagamento e a vigência (item 9). Preço, dimensionamento e condução da AEP estão calculados.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1. Contexto</w:t>
      </w:r>
    </w:p>
    <w:p>
      <w:r>
        <w:rPr>
          <w:rFonts w:ascii="Calibri" w:hAnsi="Calibri"/>
        </w:rPr>
        <w:t xml:space="preserve">A Portaria MTE nº 1.419/2024 deu nova redação ao capítulo 1.5 da NR-1 e incluiu expressamente os fatores de risco psicossociais no inventário de riscos. A vigência, prorrogada pela Portaria MTE nº 765/2025, começou em </w:t>
      </w:r>
      <w:r>
        <w:rPr>
          <w:rFonts w:ascii="Calibri" w:hAnsi="Calibri"/>
          <w:b/>
        </w:rPr>
        <w:t>26 de maio de 2026</w:t>
      </w:r>
      <w:r>
        <w:rPr>
          <w:rFonts w:ascii="Calibri" w:hAnsi="Calibri"/>
        </w:rPr>
        <w:t>, e o período de dupla visita orientativa já se encerrou.</w:t>
      </w:r>
    </w:p>
    <w:p>
      <w:r>
        <w:rPr>
          <w:rFonts w:ascii="Calibri" w:hAnsi="Calibri"/>
        </w:rPr>
        <w:t>O descumprimento comporta auto de infração nos termos do art. 201 da CLT, com multas que a NR-28 situa entre R$ 2.396,35 e R$ 6.708,08, além de embargo ou interdição em irregularidades graves.</w:t>
      </w:r>
    </w:p>
    <w:p>
      <w:r>
        <w:rPr>
          <w:rFonts w:ascii="Calibri" w:hAnsi="Calibri"/>
          <w:i/>
        </w:rPr>
        <w:t>Os enquadramentos acima são apresentados para contextualização, com base no texto da norma e nas publicações oficiais do MTE. Não constituem parecer jurídico.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2. Objeto</w:t>
      </w:r>
    </w:p>
    <w:p>
      <w:r>
        <w:rPr>
          <w:rFonts w:ascii="Calibri" w:hAnsi="Calibri"/>
        </w:rPr>
        <w:t xml:space="preserve">Prestação do serviço </w:t>
      </w:r>
      <w:r>
        <w:rPr>
          <w:rFonts w:ascii="Calibri" w:hAnsi="Calibri"/>
          <w:b/>
        </w:rPr>
        <w:t>FROID Psicossocial</w:t>
      </w:r>
      <w:r>
        <w:rPr>
          <w:rFonts w:ascii="Calibri" w:hAnsi="Calibri"/>
        </w:rPr>
        <w:t>, instrumento técnico documentado de identificação de perigos, caracterização da exposição, avaliação e classificação dos fatores de risco psicossociais relacionados ao trabalho, destinado a integrar as etapas pertinentes da Avaliação Ergonômica Preliminar (AEP) e a apoiar a elaboração e o acompanhamento do PGR da contratante.</w:t>
      </w:r>
    </w:p>
    <w:p>
      <w:r>
        <w:rPr>
          <w:rFonts w:ascii="Calibri" w:hAnsi="Calibri"/>
        </w:rPr>
        <w:t xml:space="preserve">A contratação </w:t>
      </w:r>
      <w:r>
        <w:rPr>
          <w:rFonts w:ascii="Calibri" w:hAnsi="Calibri"/>
          <w:b/>
        </w:rPr>
        <w:t>não transfere</w:t>
      </w:r>
      <w:r>
        <w:rPr>
          <w:rFonts w:ascii="Calibri" w:hAnsi="Calibri"/>
        </w:rPr>
        <w:t xml:space="preserve"> ao FROID a responsabilidade legal da contratante pelo Gerenciamento de Riscos Ocupacionais.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3. Dimensionamento da TATICCA</w:t>
      </w:r>
    </w:p>
    <w:p>
      <w:r>
        <w:rPr>
          <w:rFonts w:ascii="Calibri" w:hAnsi="Calibri"/>
        </w:rPr>
        <w:t>Calculado sobre a estrutura cadastrada em 26/08/2026.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Item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Valor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Trabalhadores (efetivo da estrutura)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263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Estabelecimentos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Setores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b/>
                <w:sz w:val="20"/>
              </w:rPr>
              <w:t>Respostas substantivas exigidas na campanha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157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Estabelecimentos que publicam recorte próprio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As 157 respostas resultam de amostra para proporção com correção de população finita, a 95% de confiança e margem de 5 pontos percentuais, em p = 0,5.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3.1 Ressalva de dimensionamento</w:t>
      </w:r>
    </w:p>
    <w:p>
      <w:r>
        <w:rPr>
          <w:rFonts w:ascii="Calibri" w:hAnsi="Calibri"/>
        </w:rPr>
        <w:t xml:space="preserve">Com cerca de 23 pessoas por endereço, </w:t>
      </w:r>
      <w:r>
        <w:rPr>
          <w:rFonts w:ascii="Calibri" w:hAnsi="Calibri"/>
          <w:b/>
        </w:rPr>
        <w:t>nenhum dos 11 estabelecimentos publica relatório próprio</w:t>
      </w:r>
      <w:r>
        <w:rPr>
          <w:rFonts w:ascii="Calibri" w:hAnsi="Calibri"/>
        </w:rPr>
        <w:t>: nesse tamanho a amostra exigida alcança o quadro inteiro, e uma única recusa suspende aquele recorte.</w:t>
      </w:r>
    </w:p>
    <w:p>
      <w:r>
        <w:rPr>
          <w:rFonts w:ascii="Calibri" w:hAnsi="Calibri"/>
        </w:rPr>
        <w:t xml:space="preserve">Isso não reduz a entrega. Cada recorte reprovado é registrado no </w:t>
      </w:r>
      <w:r>
        <w:rPr>
          <w:rFonts w:ascii="Calibri" w:hAnsi="Calibri"/>
          <w:b/>
        </w:rPr>
        <w:t>mesmo inventário</w:t>
      </w:r>
      <w:r>
        <w:rPr>
          <w:rFonts w:ascii="Calibri" w:hAnsi="Calibri"/>
        </w:rPr>
        <w:t xml:space="preserve"> como linha declarada insuficiente, nomeando o portão que barrou e o caminho de remédio — nunca em anexo, nunca omitido. A não publicação jamais é apresentada como avaliação favorável.</w:t>
      </w:r>
    </w:p>
    <w:p>
      <w:r>
        <w:rPr>
          <w:rFonts w:ascii="Calibri" w:hAnsi="Calibri"/>
        </w:rPr>
        <w:t>Registramos esta ressalva na proposta, e não depois da coleta, porque é exatamente a promessa que costuma quebrar no fim do ciclo.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4. Escopo incluído</w:t>
      </w:r>
    </w:p>
    <w:p>
      <w:r>
        <w:rPr>
          <w:rFonts w:ascii="Calibri" w:hAnsi="Calibri"/>
          <w:b/>
        </w:rPr>
        <w:t>Instrumento e coleta.</w:t>
      </w:r>
      <w:r>
        <w:rPr>
          <w:rFonts w:ascii="Calibri" w:hAnsi="Calibri"/>
        </w:rPr>
        <w:t xml:space="preserve"> Questionário psicossocial FROID v1 — 13 dimensões ancoradas nos perigos do Guia MTE 2025 e na ISO 45003:2021, 39 itens, cerca de 7 minutos. Convites individuais anônimos, com canal de apoio ao trabalhador obrigatório e aviso de finalidade com base legal declarada.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O lastro do instrumento, e por que isso é perguntado em perícia</w:t>
      </w:r>
    </w:p>
    <w:p>
      <w:r>
        <w:rPr>
          <w:rFonts w:ascii="Calibri" w:hAnsi="Calibri"/>
        </w:rPr>
        <w:t xml:space="preserve">O Guia de Fatores de Riscos Psicossociais do Ministério do Trabalho e Emprego declara que </w:t>
      </w:r>
      <w:r>
        <w:rPr>
          <w:rFonts w:ascii="Calibri" w:hAnsi="Calibri"/>
          <w:b/>
        </w:rPr>
        <w:t>o MTE não define nem sugere metodologia</w:t>
      </w:r>
      <w:r>
        <w:rPr>
          <w:rFonts w:ascii="Calibri" w:hAnsi="Calibri"/>
        </w:rPr>
        <w:t xml:space="preserve"> — a escolha da ferramenta é da organização. E estabelece duas condições para essa escolha: a ferramenta precisa ser adequada ao risco em avaliação, pelo subitem 1.5.4.4.2.1 da NR-1, e precisa estar cientificamente fundamentada, isto é, ter </w:t>
      </w:r>
      <w:r>
        <w:rPr>
          <w:rFonts w:ascii="Calibri" w:hAnsi="Calibri"/>
          <w:i/>
        </w:rPr>
        <w:t>"estudo científico ou um órgão ou instituição de SST, nacional ou internacional, que lhe dê embasamento e suporte"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Numa fiscalização ou numa perícia, portanto, a pergunta não será </w:t>
      </w:r>
      <w:r>
        <w:rPr>
          <w:rFonts w:ascii="Calibri" w:hAnsi="Calibri"/>
          <w:i/>
        </w:rPr>
        <w:t>"vocês usaram uma ferramenta?"</w:t>
      </w:r>
      <w:r>
        <w:rPr>
          <w:rFonts w:ascii="Calibri" w:hAnsi="Calibri"/>
        </w:rPr>
        <w:t xml:space="preserve">. Será </w:t>
      </w:r>
      <w:r>
        <w:rPr>
          <w:rFonts w:ascii="Calibri" w:hAnsi="Calibri"/>
          <w:b/>
        </w:rPr>
        <w:t>"com base em quê vocês escolheram essa ferramenta?"</w:t>
      </w:r>
      <w:r>
        <w:rPr>
          <w:rFonts w:ascii="Calibri" w:hAnsi="Calibri"/>
        </w:rPr>
        <w:t xml:space="preserve"> — e o critério está publicado, o que significa que o auditor fiscal já o tem em mãos.</w:t>
      </w:r>
    </w:p>
    <w:p>
      <w:r>
        <w:rPr>
          <w:rFonts w:ascii="Calibri" w:hAnsi="Calibri"/>
        </w:rPr>
        <w:t xml:space="preserve">O instrumento do FROID Psicossocial é ancorado na </w:t>
      </w:r>
      <w:r>
        <w:rPr>
          <w:rFonts w:ascii="Calibri" w:hAnsi="Calibri"/>
          <w:b/>
        </w:rPr>
        <w:t>ISO 45003:2021</w:t>
      </w:r>
      <w:r>
        <w:rPr>
          <w:rFonts w:ascii="Calibri" w:hAnsi="Calibri"/>
        </w:rPr>
        <w:t>, primeira norma internacional dedicada à gestão de riscos psicossociais, que o próprio Guia do MTE cita três vezes — duas no corpo e uma na bibliografia formal. É o lastro que o critério exige, e é verificável.</w:t>
      </w:r>
    </w:p>
    <w:p>
      <w:r>
        <w:rPr>
          <w:rFonts w:ascii="Calibri" w:hAnsi="Calibri"/>
          <w:i/>
        </w:rPr>
        <w:t>Ressalva que fazemos por princípio:</w:t>
      </w:r>
      <w:r>
        <w:rPr>
          <w:rFonts w:ascii="Calibri" w:hAnsi="Calibri"/>
        </w:rPr>
        <w:t xml:space="preserve"> a ISO 45003 é norma de </w:t>
      </w:r>
      <w:r>
        <w:rPr>
          <w:rFonts w:ascii="Calibri" w:hAnsi="Calibri"/>
          <w:b/>
        </w:rPr>
        <w:t>diretrizes</w:t>
      </w:r>
      <w:r>
        <w:rPr>
          <w:rFonts w:ascii="Calibri" w:hAnsi="Calibri"/>
        </w:rPr>
        <w:t>, não de requisitos. Não comporta certificação acreditada, e não somos certificados nela — ninguém é. Estar ancorado nela significa que o instrumento se apoia no referencial internacional que o regulador brasileiro reconhece, não que exista selo.</w:t>
      </w:r>
    </w:p>
    <w:p>
      <w:r>
        <w:rPr>
          <w:rFonts w:ascii="Calibri" w:hAnsi="Calibri"/>
          <w:b/>
        </w:rPr>
        <w:t>Os três documentos do PGR.</w:t>
      </w:r>
      <w:r>
        <w:rPr>
          <w:rFonts w:ascii="Calibri" w:hAnsi="Calibri"/>
        </w:rPr>
        <w:t xml:space="preserve"> Inventário de riscos com as nove informações mínimas do subitem 1.5.7.3.2; plano de ação com cronograma, responsável, forma de acompanhamento e forma de aferição por medida; e documento de critérios do GRO.</w:t>
      </w:r>
    </w:p>
    <w:p>
      <w:r>
        <w:rPr>
          <w:rFonts w:ascii="Calibri" w:hAnsi="Calibri"/>
          <w:b/>
        </w:rPr>
        <w:t>Estrutura da AEP.</w:t>
      </w:r>
      <w:r>
        <w:rPr>
          <w:rFonts w:ascii="Calibri" w:hAnsi="Calibri"/>
        </w:rPr>
        <w:t xml:space="preserve"> Documento por unidade de avaliação, com registro de evidência por método declarado — observação da atividade, diálogo com o trabalhador, pesquisa padronizada, oficina, grupo focal, análise documental, manifestação da CIPA.</w:t>
      </w:r>
    </w:p>
    <w:p>
      <w:r>
        <w:rPr>
          <w:rFonts w:ascii="Calibri" w:hAnsi="Calibri"/>
          <w:b/>
        </w:rPr>
        <w:t>Painel e acompanhamento.</w:t>
      </w:r>
      <w:r>
        <w:rPr>
          <w:rFonts w:ascii="Calibri" w:hAnsi="Calibri"/>
        </w:rPr>
        <w:t xml:space="preserve"> Gradação por severidade × probabilidade nos termos dos subitens 1.5.4.4.4.1 e 1.5.4.4.5.3; recortes declarados insuficientes; comparação de eficácia entre ciclos; e revisão do risco residual disparada pela implementação de medida.</w:t>
      </w:r>
    </w:p>
    <w:p>
      <w:r>
        <w:rPr>
          <w:rFonts w:ascii="Calibri" w:hAnsi="Calibri"/>
          <w:b/>
        </w:rPr>
        <w:t>FROID Explica NR-1.</w:t>
      </w:r>
      <w:r>
        <w:rPr>
          <w:rFonts w:ascii="Calibri" w:hAnsi="Calibri"/>
        </w:rPr>
        <w:t xml:space="preserve"> Base de consulta com o texto integral do capítulo 1.5, o Guia e o Manual do MTE, os documentos contratuais e a documentação do método, com a fonte citada em cada resposta.</w:t>
      </w:r>
    </w:p>
    <w:p>
      <w:r>
        <w:rPr>
          <w:rFonts w:ascii="Calibri" w:hAnsi="Calibri"/>
          <w:b/>
        </w:rPr>
        <w:t>Garantias estruturais.</w:t>
      </w:r>
      <w:r>
        <w:rPr>
          <w:rFonts w:ascii="Calibri" w:hAnsi="Calibri"/>
        </w:rPr>
        <w:t xml:space="preserve"> O empregador não acessa resposta individual — as tabelas correspondentes não possuem política de leitura e o papel de execução do sistema não tem permissão sobre elas. O FROID não recebe nome de trabalhador. Nenhum resultado é liberado com a coleta aberta.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4.1 As vantagens, uma a uma — e do que cada uma protege</w:t>
      </w:r>
    </w:p>
    <w:p>
      <w:r>
        <w:rPr>
          <w:rFonts w:ascii="Calibri" w:hAnsi="Calibri"/>
        </w:rPr>
        <w:t>O item acima diz o que a TATICCA recebe. Este diz por que cada peça existe. Todas são verificáveis: nenhuma depende de acreditar na nossa palavra.</w:t>
      </w:r>
    </w:p>
    <w:p>
      <w:r>
        <w:rPr>
          <w:rFonts w:ascii="Calibri" w:hAnsi="Calibri"/>
          <w:b/>
        </w:rPr>
        <w:t>a) O que protege o documento diante da fiscalização e da perícia</w:t>
      </w:r>
    </w:p>
    <w:p>
      <w:pPr>
        <w:pStyle w:val="ListNumber"/>
        <w:spacing w:after="80"/>
      </w:pPr>
      <w:r>
        <w:rPr>
          <w:rFonts w:ascii="Calibri" w:hAnsi="Calibri"/>
          <w:b/>
        </w:rPr>
        <w:t>Recorte declarado insuficiente.</w:t>
      </w:r>
      <w:r>
        <w:rPr>
          <w:rFonts w:ascii="Calibri" w:hAnsi="Calibri"/>
        </w:rPr>
        <w:t xml:space="preserve"> O recorte que não vence o piso não some do relatório: entra no mesmo inventário, nomeando o portão que barrou e o caminho de remédio. Painel vazio é lido como “não há risco aqui”, que é a única conclusão que a ausência de dado nunca autoriza.</w:t>
      </w:r>
    </w:p>
    <w:p>
      <w:pPr>
        <w:pStyle w:val="ListNumber"/>
        <w:spacing w:after="80"/>
      </w:pPr>
      <w:r>
        <w:rPr>
          <w:rFonts w:ascii="Calibri" w:hAnsi="Calibri"/>
          <w:b/>
        </w:rPr>
        <w:t>A trava que impede o meio-termo.</w:t>
      </w:r>
      <w:r>
        <w:rPr>
          <w:rFonts w:ascii="Calibri" w:hAnsi="Calibri"/>
        </w:rPr>
        <w:t xml:space="preserve"> Uma linha do inventário ou tem os quatro números — coorte, média, severidade e probabilidade — e nenhum portão, ou tem portão e nota com os quatro nulos. O banco recusa o estado intermediário, porque linha pela metade é a que um auditor lê como risco baixo.</w:t>
      </w:r>
    </w:p>
    <w:p>
      <w:pPr>
        <w:pStyle w:val="ListNumber"/>
        <w:spacing w:after="80"/>
      </w:pPr>
      <w:r>
        <w:rPr>
          <w:rFonts w:ascii="Calibri" w:hAnsi="Calibri"/>
          <w:b/>
        </w:rPr>
        <w:t>Prova de eficácia que se recusa a afirmar.</w:t>
      </w:r>
      <w:r>
        <w:rPr>
          <w:rFonts w:ascii="Calibri" w:hAnsi="Calibri"/>
        </w:rPr>
        <w:t xml:space="preserve"> A classificação usa o limite conservador do intervalo de confiança, nunca o valor central: só se afirma a magnitude que o intervalo inteiro sustenta. Numa validação com 26 recortes liberados, 24 saíram como </w:t>
      </w:r>
      <w:r>
        <w:rPr>
          <w:rFonts w:ascii="Calibri" w:hAnsi="Calibri"/>
          <w:i/>
        </w:rPr>
        <w:t>sem mudança</w:t>
      </w:r>
      <w:r>
        <w:rPr>
          <w:rFonts w:ascii="Calibri" w:hAnsi="Calibri"/>
        </w:rPr>
        <w:t xml:space="preserve"> — inclusive quatro que, pelo número central, pareceriam melhora. Fornecedor que só reporta melhora não está medindo, e é exatamente aí que uma perícia adversária desmonta um laudo.</w:t>
      </w:r>
    </w:p>
    <w:p>
      <w:pPr>
        <w:pStyle w:val="ListNumber"/>
        <w:spacing w:after="80"/>
      </w:pPr>
      <w:r>
        <w:rPr>
          <w:rFonts w:ascii="Calibri" w:hAnsi="Calibri"/>
          <w:b/>
        </w:rPr>
        <w:t>Critérios versionados e imutáveis.</w:t>
      </w:r>
      <w:r>
        <w:rPr>
          <w:rFonts w:ascii="Calibri" w:hAnsi="Calibri"/>
        </w:rPr>
        <w:t xml:space="preserve"> O documento de critérios de cada ciclo fica congelado com ele. Ninguém reescreve a régua depois de conhecer o resultado — e é a primeira coisa que uma perícia procura.</w:t>
      </w:r>
    </w:p>
    <w:p>
      <w:pPr>
        <w:pStyle w:val="ListNumber"/>
        <w:spacing w:after="80"/>
      </w:pPr>
      <w:r>
        <w:rPr>
          <w:rFonts w:ascii="Calibri" w:hAnsi="Calibri"/>
          <w:b/>
        </w:rPr>
        <w:t>Memória de cálculo guardada.</w:t>
      </w:r>
      <w:r>
        <w:rPr>
          <w:rFonts w:ascii="Calibri" w:hAnsi="Calibri"/>
        </w:rPr>
        <w:t xml:space="preserve"> O tamanho das duas coortes, o intervalo e a conta ficam junto do resultado, de modo que um auditor ou perito reconstrua como se chegou àquele nível de risco.</w:t>
      </w:r>
    </w:p>
    <w:p>
      <w:pPr>
        <w:pStyle w:val="ListNumber"/>
        <w:spacing w:after="80"/>
      </w:pPr>
      <w:r>
        <w:rPr>
          <w:rFonts w:ascii="Calibri" w:hAnsi="Calibri"/>
          <w:b/>
        </w:rPr>
        <w:t>Prioridade pela norma, não por percepção.</w:t>
      </w:r>
      <w:r>
        <w:rPr>
          <w:rFonts w:ascii="Calibri" w:hAnsi="Calibri"/>
        </w:rPr>
        <w:t xml:space="preserve"> A fila do plano de ação é ordenada por nível de risco e pelo número de trabalhadores possivelmente atingidos, nos termos do subitem 1.5.5.2.1.1.</w:t>
      </w:r>
    </w:p>
    <w:p>
      <w:pPr>
        <w:pStyle w:val="ListNumber"/>
        <w:spacing w:after="80"/>
      </w:pPr>
      <w:r>
        <w:rPr>
          <w:rFonts w:ascii="Calibri" w:hAnsi="Calibri"/>
          <w:b/>
        </w:rPr>
        <w:t>Plano de ação que não conclui pela metade.</w:t>
      </w:r>
      <w:r>
        <w:rPr>
          <w:rFonts w:ascii="Calibri" w:hAnsi="Calibri"/>
        </w:rPr>
        <w:t xml:space="preserve"> Cronograma, responsável, forma de acompanhamento e forma de aferição são exigidos por medida — o sistema não deixa concluir sem os quatro.</w:t>
      </w:r>
    </w:p>
    <w:p>
      <w:pPr>
        <w:pStyle w:val="ListNumber"/>
        <w:spacing w:after="80"/>
      </w:pPr>
      <w:r>
        <w:rPr>
          <w:rFonts w:ascii="Calibri" w:hAnsi="Calibri"/>
          <w:b/>
        </w:rPr>
        <w:t>Reavaliação disparada sozinha.</w:t>
      </w:r>
      <w:r>
        <w:rPr>
          <w:rFonts w:ascii="Calibri" w:hAnsi="Calibri"/>
        </w:rPr>
        <w:t xml:space="preserve"> Implementada a medida, a revisão do risco residual é marcada automaticamente. O ciclo que a norma descreve fecha sem depender de alguém lembrar.</w:t>
      </w:r>
    </w:p>
    <w:p>
      <w:pPr>
        <w:pStyle w:val="ListNumber"/>
        <w:spacing w:after="80"/>
      </w:pPr>
      <w:r>
        <w:rPr>
          <w:rFonts w:ascii="Calibri" w:hAnsi="Calibri"/>
          <w:b/>
        </w:rPr>
        <w:t>Documento pronto para entregar.</w:t>
      </w:r>
      <w:r>
        <w:rPr>
          <w:rFonts w:ascii="Calibri" w:hAnsi="Calibri"/>
        </w:rPr>
        <w:t xml:space="preserve"> Inventário imprimível em A4, com período de referência, efetivo declarado, respostas substantivas e sob qual régua o risco foi graduado.</w:t>
      </w:r>
    </w:p>
    <w:p>
      <w:r>
        <w:rPr>
          <w:rFonts w:ascii="Calibri" w:hAnsi="Calibri"/>
          <w:b/>
        </w:rPr>
        <w:t>b) O que protege a qualidade do dado — e portanto o retrato da empresa</w:t>
      </w:r>
    </w:p>
    <w:p>
      <w:pPr>
        <w:pStyle w:val="ListNumber"/>
        <w:spacing w:after="80"/>
      </w:pPr>
      <w:r>
        <w:rPr>
          <w:rFonts w:ascii="Calibri" w:hAnsi="Calibri"/>
          <w:b/>
        </w:rPr>
        <w:t>Dois pisos, aplicados no banco e não na tela.</w:t>
      </w:r>
      <w:r>
        <w:rPr>
          <w:rFonts w:ascii="Calibri" w:hAnsi="Calibri"/>
        </w:rPr>
        <w:t xml:space="preserve"> O de anonimato (15 na campanha, 10 por recorte) e o de representatividade (a amostra que fala pelo efetivo declarado). Não são validação de interface que alguém contorne.</w:t>
      </w:r>
    </w:p>
    <w:p>
      <w:pPr>
        <w:pStyle w:val="ListNumber"/>
        <w:spacing w:after="80"/>
      </w:pPr>
      <w:r>
        <w:rPr>
          <w:rFonts w:ascii="Calibri" w:hAnsi="Calibri"/>
          <w:b/>
        </w:rPr>
        <w:t>Resposta substantiva.</w:t>
      </w:r>
      <w:r>
        <w:rPr>
          <w:rFonts w:ascii="Calibri" w:hAnsi="Calibri"/>
        </w:rPr>
        <w:t xml:space="preserve"> Clique vazio não conta: só entra no denominador quem cobriu ao menos metade das dimensões do instrumento. Sem isso, a adesão vira número inflado e o retrato, ficção.</w:t>
      </w:r>
    </w:p>
    <w:p>
      <w:pPr>
        <w:pStyle w:val="ListNumber"/>
        <w:spacing w:after="80"/>
      </w:pPr>
      <w:r>
        <w:rPr>
          <w:rFonts w:ascii="Calibri" w:hAnsi="Calibri"/>
          <w:b/>
        </w:rPr>
        <w:t>Nada é liberado com a coleta aberta.</w:t>
      </w:r>
      <w:r>
        <w:rPr>
          <w:rFonts w:ascii="Calibri" w:hAnsi="Calibri"/>
        </w:rPr>
        <w:t xml:space="preserve"> Não há resultado parcial que pressione a comunicação interna a “melhorar o número” durante a campanha.</w:t>
      </w:r>
    </w:p>
    <w:p>
      <w:pPr>
        <w:pStyle w:val="ListNumber"/>
        <w:spacing w:after="80"/>
      </w:pPr>
      <w:r>
        <w:rPr>
          <w:rFonts w:ascii="Calibri" w:hAnsi="Calibri"/>
          <w:b/>
        </w:rPr>
        <w:t>Convite de uso único.</w:t>
      </w:r>
      <w:r>
        <w:rPr>
          <w:rFonts w:ascii="Calibri" w:hAnsi="Calibri"/>
        </w:rPr>
        <w:t xml:space="preserve"> O link vale uma vez. A reemissão para quem perdeu não duplica resposta nem cria um segundo voto.</w:t>
      </w:r>
    </w:p>
    <w:p>
      <w:pPr>
        <w:pStyle w:val="ListNumber"/>
        <w:spacing w:after="80"/>
      </w:pPr>
      <w:r>
        <w:rPr>
          <w:rFonts w:ascii="Calibri" w:hAnsi="Calibri"/>
          <w:b/>
        </w:rPr>
        <w:t>Canal de apoio obrigatório.</w:t>
      </w:r>
      <w:r>
        <w:rPr>
          <w:rFonts w:ascii="Calibri" w:hAnsi="Calibri"/>
        </w:rPr>
        <w:t xml:space="preserve"> O banco recusa abrir a coleta sem um canal de apoio declarado. Perguntar sobre sofrimento sem oferecer para onde ir é a falha ética que mais rápido destrói a adesão do ciclo seguinte.</w:t>
      </w:r>
    </w:p>
    <w:p>
      <w:pPr>
        <w:pStyle w:val="ListNumber"/>
        <w:spacing w:after="80"/>
      </w:pPr>
      <w:r>
        <w:rPr>
          <w:rFonts w:ascii="Calibri" w:hAnsi="Calibri"/>
          <w:b/>
        </w:rPr>
        <w:t>Aviso de finalidade escrito pela contratante</w:t>
      </w:r>
      <w:r>
        <w:rPr>
          <w:rFonts w:ascii="Calibri" w:hAnsi="Calibri"/>
        </w:rPr>
        <w:t>, obrigatório, com base legal declarada.</w:t>
      </w:r>
    </w:p>
    <w:p>
      <w:r>
        <w:rPr>
          <w:rFonts w:ascii="Calibri" w:hAnsi="Calibri"/>
          <w:b/>
        </w:rPr>
        <w:t>c) O que protege a pessoa — e a empresa junto com ela</w:t>
      </w:r>
    </w:p>
    <w:p>
      <w:pPr>
        <w:pStyle w:val="ListNumber"/>
        <w:spacing w:after="80"/>
      </w:pPr>
      <w:r>
        <w:rPr>
          <w:rFonts w:ascii="Calibri" w:hAnsi="Calibri"/>
          <w:b/>
        </w:rPr>
        <w:t>A fronteira é estrutural, e demonstrável em trinta segundos.</w:t>
      </w:r>
      <w:r>
        <w:rPr>
          <w:rFonts w:ascii="Calibri" w:hAnsi="Calibri"/>
        </w:rPr>
        <w:t xml:space="preserve"> As tabelas de resposta individual não têm política de leitura, e o papel de execução do sistema não tem permissão sobre elas: a única saída do banco é uma função de agregação que já aplica os pisos. Não é configuração que alguém afrouxe. </w:t>
      </w:r>
      <w:r>
        <w:rPr>
          <w:rFonts w:ascii="Calibri" w:hAnsi="Calibri"/>
          <w:b/>
        </w:rPr>
        <w:t>Podemos demonstrar ao vivo, na reunião</w:t>
      </w:r>
      <w:r>
        <w:rPr>
          <w:rFonts w:ascii="Calibri" w:hAnsi="Calibri"/>
        </w:rPr>
        <w:t>, entrando com a conta da empresa e tentando abrir o painel clínico.</w:t>
      </w:r>
    </w:p>
    <w:p>
      <w:pPr>
        <w:pStyle w:val="ListNumber"/>
        <w:spacing w:after="80"/>
      </w:pPr>
      <w:r>
        <w:rPr>
          <w:rFonts w:ascii="Calibri" w:hAnsi="Calibri"/>
          <w:b/>
        </w:rPr>
        <w:t>Nome de trabalhador não existe no banco.</w:t>
      </w:r>
      <w:r>
        <w:rPr>
          <w:rFonts w:ascii="Calibri" w:hAnsi="Calibri"/>
        </w:rPr>
        <w:t xml:space="preserve"> Não é política de retenção: não há campo. A TATICCA fornece a matrícula; o sistema guarda um pseudônimo criptográfico dela e o resumo do link, </w:t>
      </w:r>
      <w:r>
        <w:rPr>
          <w:rFonts w:ascii="Calibri" w:hAnsi="Calibri"/>
          <w:b/>
        </w:rPr>
        <w:t>nunca o par entre os dois</w:t>
      </w:r>
      <w:r>
        <w:rPr>
          <w:rFonts w:ascii="Calibri" w:hAnsi="Calibri"/>
        </w:rPr>
        <w:t>.</w:t>
      </w:r>
    </w:p>
    <w:p>
      <w:pPr>
        <w:pStyle w:val="ListNumber"/>
        <w:spacing w:after="80"/>
      </w:pPr>
      <w:r>
        <w:rPr>
          <w:rFonts w:ascii="Calibri" w:hAnsi="Calibri"/>
          <w:b/>
        </w:rPr>
        <w:t>Base legal correta.</w:t>
      </w:r>
      <w:r>
        <w:rPr>
          <w:rFonts w:ascii="Calibri" w:hAnsi="Calibri"/>
        </w:rPr>
        <w:t xml:space="preserve"> O tratamento se apoia no cumprimento de obrigação legal do empregador, não no consentimento do trabalhador — que a relação de hierarquia comprometeria, e que é o vício mais comum nesse tipo de coleta.</w:t>
      </w:r>
    </w:p>
    <w:p>
      <w:pPr>
        <w:pStyle w:val="ListNumber"/>
        <w:spacing w:after="80"/>
      </w:pPr>
      <w:r>
        <w:rPr>
          <w:rFonts w:ascii="Calibri" w:hAnsi="Calibri"/>
          <w:b/>
        </w:rPr>
        <w:t>As respostas individuais podem ser purgadas.</w:t>
      </w:r>
      <w:r>
        <w:rPr>
          <w:rFonts w:ascii="Calibri" w:hAnsi="Calibri"/>
        </w:rPr>
        <w:t xml:space="preserve"> A norma exige vinte anos do inventário, não das respostas que o produziram. Depois de consolidado, o dado individual não responde nenhuma pergunta que o agregado não responda — e há ferramenta própria para eliminá-lo.</w:t>
      </w:r>
    </w:p>
    <w:p>
      <w:pPr>
        <w:pStyle w:val="ListNumber"/>
        <w:spacing w:after="80"/>
      </w:pPr>
      <w:r>
        <w:rPr>
          <w:rFonts w:ascii="Calibri" w:hAnsi="Calibri"/>
          <w:b/>
        </w:rPr>
        <w:t>Isolamento por organização.</w:t>
      </w:r>
      <w:r>
        <w:rPr>
          <w:rFonts w:ascii="Calibri" w:hAnsi="Calibri"/>
        </w:rPr>
        <w:t xml:space="preserve"> Cada empresa é uma organização separada. Na operação de canal, a TATICCA não acessa resposta individual de trabalhador de cliente algum, nem de si mesma.</w:t>
      </w:r>
    </w:p>
    <w:p>
      <w:pPr>
        <w:pStyle w:val="ListNumber"/>
        <w:spacing w:after="80"/>
      </w:pPr>
      <w:r>
        <w:rPr>
          <w:rFonts w:ascii="Calibri" w:hAnsi="Calibri"/>
          <w:b/>
        </w:rPr>
        <w:t>Verificado em execução, não só no desenho.</w:t>
      </w:r>
      <w:r>
        <w:rPr>
          <w:rFonts w:ascii="Calibri" w:hAnsi="Calibri"/>
        </w:rPr>
        <w:t xml:space="preserve"> Uma rotina própria confere as concessões do papel de execução contra o que deveriam ser e falha a subida do sistema se divergirem — porque desenho correto que ninguém verifica apodrece na primeira alteração distraída.</w:t>
      </w:r>
    </w:p>
    <w:p>
      <w:r>
        <w:rPr>
          <w:rFonts w:ascii="Calibri" w:hAnsi="Calibri"/>
          <w:b/>
        </w:rPr>
        <w:t>d) O que protege a operação e o orçamento</w:t>
      </w:r>
    </w:p>
    <w:p>
      <w:pPr>
        <w:pStyle w:val="ListNumber"/>
        <w:spacing w:after="80"/>
      </w:pPr>
      <w:r>
        <w:rPr>
          <w:rFonts w:ascii="Calibri" w:hAnsi="Calibri"/>
          <w:b/>
        </w:rPr>
        <w:t>O ciclo é operado pela TATICCA, do início ao fim.</w:t>
      </w:r>
      <w:r>
        <w:rPr>
          <w:rFonts w:ascii="Calibri" w:hAnsi="Calibri"/>
        </w:rPr>
        <w:t xml:space="preserve"> Cadastro da estrutura, campanha, convites, encerramento, inventário, plano de ação e documentos — sem planilha paralela e sem depender de nós a cada passo. É o que torna viável operar a carteira, e não só o ciclo próprio.</w:t>
      </w:r>
    </w:p>
    <w:p>
      <w:pPr>
        <w:pStyle w:val="ListNumber"/>
        <w:spacing w:after="80"/>
      </w:pPr>
      <w:r>
        <w:rPr>
          <w:rFonts w:ascii="Calibri" w:hAnsi="Calibri"/>
          <w:b/>
        </w:rPr>
        <w:t>FROID Explica NR-1 incluído, sem cobrança adicional e sem limite de consultas.</w:t>
      </w:r>
      <w:r>
        <w:rPr>
          <w:rFonts w:ascii="Calibri" w:hAnsi="Calibri"/>
        </w:rPr>
        <w:t xml:space="preserve"> São 57 respostas revisadas em oito temas, mais consulta aberta a um acervo de 661 trechos com o texto integral do capítulo 1.5, o Guia e o Manual do MTE. Cita a fonte, distingue norma de interpretação, e as respostas revisadas funcionam sem rede — inclusive na frente de um auditor. Um dos oito temas são </w:t>
      </w:r>
      <w:r>
        <w:rPr>
          <w:rFonts w:ascii="Calibri" w:hAnsi="Calibri"/>
          <w:b/>
        </w:rPr>
        <w:t>as perguntas do trabalhador</w:t>
      </w:r>
      <w:r>
        <w:rPr>
          <w:rFonts w:ascii="Calibri" w:hAnsi="Calibri"/>
        </w:rPr>
        <w:t>, com a resposta pronta para o RH repassar. Isso não é conforto: adesão é a variável que decide se a campanha publica, e ela se decide na conversa de corredor.</w:t>
      </w:r>
    </w:p>
    <w:p>
      <w:pPr>
        <w:pStyle w:val="ListNumber"/>
        <w:spacing w:after="80"/>
      </w:pPr>
      <w:r>
        <w:rPr>
          <w:rFonts w:ascii="Calibri" w:hAnsi="Calibri"/>
          <w:b/>
        </w:rPr>
        <w:t>Preço sem degraus.</w:t>
      </w:r>
      <w:r>
        <w:rPr>
          <w:rFonts w:ascii="Calibri" w:hAnsi="Calibri"/>
        </w:rPr>
        <w:t xml:space="preserve"> As faixas são cumulativas, como tarifa. Crescer de 300 para 301 trabalhadores não muda de plano nem reprecifica o contrato.</w:t>
      </w:r>
    </w:p>
    <w:p>
      <w:pPr>
        <w:pStyle w:val="ListNumber"/>
        <w:spacing w:after="80"/>
      </w:pPr>
      <w:r>
        <w:rPr>
          <w:rFonts w:ascii="Calibri" w:hAnsi="Calibri"/>
          <w:b/>
        </w:rPr>
        <w:t>Comprovante de aceite.</w:t>
      </w:r>
      <w:r>
        <w:rPr>
          <w:rFonts w:ascii="Calibri" w:hAnsi="Calibri"/>
        </w:rPr>
        <w:t xml:space="preserve"> O contrato prova o texto; o comprovante prova a contratação daquele texto, por aquela pessoa, naquela data, com a impressão digital de cada documento. Se o texto vigente divergir do aceito, o comprovante diz isso em vez de imprimir o de hoje sob a data de ontem.</w:t>
      </w:r>
    </w:p>
    <w:p>
      <w:pPr>
        <w:pStyle w:val="ListNumber"/>
        <w:spacing w:after="80"/>
      </w:pPr>
      <w:r>
        <w:rPr>
          <w:rFonts w:ascii="Calibri" w:hAnsi="Calibri"/>
          <w:b/>
        </w:rPr>
        <w:t>Escopo deliberadamente limitado.</w:t>
      </w:r>
      <w:r>
        <w:rPr>
          <w:rFonts w:ascii="Calibri" w:hAnsi="Calibri"/>
        </w:rPr>
        <w:t xml:space="preserve"> Não emitimos laudo, não assinamos PGR e não substituímos SESMT. Não é limitação de capacidade: é a decisão de desenho que permite à TATICCA ser canal em vez de concorrente.</w:t>
      </w:r>
    </w:p>
    <w:p>
      <w:pPr>
        <w:pStyle w:val="ListNumber"/>
        <w:spacing w:after="80"/>
      </w:pPr>
      <w:r>
        <w:rPr>
          <w:rFonts w:ascii="Calibri" w:hAnsi="Calibri"/>
          <w:b/>
        </w:rPr>
        <w:t>A ressalva vem antes do contrato.</w:t>
      </w:r>
      <w:r>
        <w:rPr>
          <w:rFonts w:ascii="Calibri" w:hAnsi="Calibri"/>
        </w:rPr>
        <w:t xml:space="preserve"> O item 3.1 diz, por escrito e antes da assinatura, que nenhum dos 11 endereços publica recorte próprio. É a promessa que costuma quebrar no fim do ciclo, com o dinheiro já pago — e preferimos perder a venda a fazê-la.</w:t>
      </w:r>
    </w:p>
    <w:p>
      <w:pPr>
        <w:spacing w:before="160" w:after="200"/>
        <w:ind w:left="340"/>
      </w:pPr>
      <w:r>
        <w:rPr>
          <w:rFonts w:ascii="Calibri" w:hAnsi="Calibri"/>
          <w:b/>
          <w:color w:val="A2570C"/>
          <w:sz w:val="20"/>
        </w:rPr>
        <w:t>Como comparar com outro fornecedor.</w:t>
      </w:r>
      <w:r>
        <w:rPr>
          <w:rFonts w:ascii="Calibri" w:hAnsi="Calibri"/>
          <w:color w:val="A2570C"/>
          <w:sz w:val="20"/>
        </w:rPr>
        <w:t xml:space="preserve"> Publicamos em froid.com.br/empresas#perguntas-fornecedor cinco perguntas de resposta difícil, com a nossa resposta ao lado. Sugerimos fazê-las a todos os fornecedores que aparecerem — inclusive a nós.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5. Fora do escopo, cotado à parte</w:t>
      </w:r>
    </w:p>
    <w:p>
      <w:r>
        <w:rPr>
          <w:rFonts w:ascii="Calibri" w:hAnsi="Calibri"/>
          <w:b/>
        </w:rPr>
        <w:t>Condução da observação da atividade e do diálogo com os trabalhadores.</w:t>
      </w:r>
      <w:r>
        <w:rPr>
          <w:rFonts w:ascii="Calibri" w:hAnsi="Calibri"/>
        </w:rPr>
        <w:t xml:space="preserve"> A AEP exige métodos que só pessoa executa. O FROID entrega a estrutura, o registro por método e a sinalização quando a avaliação se apoia apenas em questionário; a condução em campo é item adicional, cotado por endereço.</w:t>
      </w:r>
    </w:p>
    <w:p>
      <w:r>
        <w:rPr>
          <w:rFonts w:ascii="Calibri" w:hAnsi="Calibri"/>
        </w:rPr>
        <w:t>Não estão incluídos: laudo técnico, avaliação de riscos físicos, químicos, biológicos ou de acidentes, elaboração ou assinatura do PGR, serviços de SESMT, exames ocupacionais e assessoria jurídica.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6. Prazos do ciclo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Etapa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Prazo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Contrato e cadastro da estrutura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Lista de matrícula e setor, aviso de finalidade e canal de apoio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D+2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Emissão e distribuição dos convites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D+5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Coleta aberta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15 a 21 dias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Encerramento, inventário, plano de ação e critérios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D+30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O prazo de coleta é a variável que mais depende da contratante: adesão responde a comunicação interna, apoio da liderança e tempo concedido dentro do expediente.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7. Investimento</w:t>
      </w:r>
    </w:p>
    <w:p>
      <w:r>
        <w:rPr>
          <w:rFonts w:ascii="Calibri" w:hAnsi="Calibri"/>
        </w:rPr>
        <w:t>Tabela publicada em froid.com.br/empresas#precos-nr1, sem exceção.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Componente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Valor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Base da plataforma, por unidade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R$ 1.200,00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 1 a 100 trabalhadores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R$ 9,00 / trabalhador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 101 a 300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R$ 7,00 / trabalhador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 301 a 1.000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R$ 5,00 / trabalhador / mês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Acima de 1.000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R$ 3,00 / trabalhador / mês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As faixas são cumulativas e incidem sobre o efetivo total. A base é por unidade — estabelecimento, não departamento: cinco setores no mesmo endereço são uma base, não cinco.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7.1 Aplicação à TATICCA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Componente</w:t>
            </w:r>
          </w:p>
        </w:tc>
        <w:tc>
          <w:tcPr>
            <w:tcW w:type="dxa" w:w="306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Cálculo</w:t>
            </w:r>
          </w:p>
        </w:tc>
        <w:tc>
          <w:tcPr>
            <w:tcW w:type="dxa" w:w="3061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Valor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Base da plataforma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11 estabelecimentos × R$ 1.200,00</w:t>
            </w:r>
          </w:p>
        </w:tc>
        <w:tc>
          <w:tcPr>
            <w:tcW w:type="dxa" w:w="306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R$ 13.200,00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Faixa de 1 a 100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100 × R$ 9,00</w:t>
            </w:r>
          </w:p>
        </w:tc>
        <w:tc>
          <w:tcPr>
            <w:tcW w:type="dxa" w:w="306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R$ 900,00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Faixa de 101 a 263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163 × R$ 7,00</w:t>
            </w:r>
          </w:p>
        </w:tc>
        <w:tc>
          <w:tcPr>
            <w:tcW w:type="dxa" w:w="306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R$ 1.141,00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/>
                <w:sz w:val="20"/>
              </w:rPr>
              <w:t>Mensal de tabela</w:t>
            </w:r>
          </w:p>
        </w:tc>
        <w:tc>
          <w:tcPr>
            <w:tcW w:type="dxa" w:w="3061"/>
          </w:tcPr>
          <w:p>
            <w:r/>
          </w:p>
        </w:tc>
        <w:tc>
          <w:tcPr>
            <w:tcW w:type="dxa" w:w="3061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R$ 15.241,00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sz w:val="20"/>
              </w:rPr>
              <w:t>Anual de tabela</w:t>
            </w:r>
          </w:p>
        </w:tc>
        <w:tc>
          <w:tcPr>
            <w:tcW w:type="dxa" w:w="3061"/>
          </w:tcPr>
          <w:p>
            <w:r/>
          </w:p>
        </w:tc>
        <w:tc>
          <w:tcPr>
            <w:tcW w:type="dxa" w:w="3061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R$ 182.892,00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7.2 O que a base por estabelecimento remunera</w:t>
      </w:r>
    </w:p>
    <w:p>
      <w:r>
        <w:rPr>
          <w:rFonts w:ascii="Calibri" w:hAnsi="Calibri"/>
        </w:rPr>
        <w:t xml:space="preserve">Cada um dos 11 endereços é uma </w:t>
      </w:r>
      <w:r>
        <w:rPr>
          <w:rFonts w:ascii="Calibri" w:hAnsi="Calibri"/>
          <w:b/>
        </w:rPr>
        <w:t>unidade de avaliação</w:t>
      </w:r>
      <w:r>
        <w:rPr>
          <w:rFonts w:ascii="Calibri" w:hAnsi="Calibri"/>
        </w:rPr>
        <w:t xml:space="preserve"> e recebe entrega própria: estrutura cadastrada com seus setores, convites emitidos e distribuídos por unidade, </w:t>
      </w:r>
      <w:r>
        <w:rPr>
          <w:rFonts w:ascii="Calibri" w:hAnsi="Calibri"/>
          <w:b/>
        </w:rPr>
        <w:t>documento de AEP próprio</w:t>
      </w:r>
      <w:r>
        <w:rPr>
          <w:rFonts w:ascii="Calibri" w:hAnsi="Calibri"/>
        </w:rPr>
        <w:t xml:space="preserve"> com as evidências do que se observa naquele endereço, e linha própria no inventário — classificada onde a coorte permite, e declarada com o portão e o caminho de remédio onde não permite.</w:t>
      </w:r>
    </w:p>
    <w:p>
      <w:r>
        <w:rPr>
          <w:rFonts w:ascii="Calibri" w:hAnsi="Calibri"/>
        </w:rPr>
        <w:t xml:space="preserve">O que a unidade pequena não produz é </w:t>
      </w:r>
      <w:r>
        <w:rPr>
          <w:rFonts w:ascii="Calibri" w:hAnsi="Calibri"/>
          <w:i/>
        </w:rPr>
        <w:t>recorte estatístico publicável</w:t>
      </w:r>
      <w:r>
        <w:rPr>
          <w:rFonts w:ascii="Calibri" w:hAnsi="Calibri"/>
        </w:rPr>
        <w:t xml:space="preserve"> (item 3.1). Isso é uma propriedade do tamanho do grupo, não uma redução da entrega — e é exatamente a informação que a norma exige registrar em vez de omitir.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4"/>
        </w:rPr>
        <w:t>7.3 Três formas de contratar</w:t>
      </w:r>
    </w:p>
    <w:p>
      <w:r>
        <w:rPr>
          <w:rFonts w:ascii="Calibri" w:hAnsi="Calibri"/>
        </w:rPr>
        <w:t>Todas cobrem o escopo integral do item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Modelo</w:t>
            </w:r>
          </w:p>
        </w:tc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Valor</w:t>
            </w:r>
          </w:p>
        </w:tc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Por trabalhador / mês</w:t>
            </w:r>
          </w:p>
        </w:tc>
        <w:tc>
          <w:tcPr>
            <w:tcW w:type="dxa" w:w="2296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O que inclui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b/>
                <w:sz w:val="20"/>
              </w:rPr>
              <w:t>Anual</w:t>
            </w:r>
            <w:r>
              <w:rPr>
                <w:rFonts w:ascii="Calibri" w:hAnsi="Calibri"/>
                <w:sz w:val="20"/>
              </w:rPr>
              <w:t xml:space="preserve"> — recomendado</w:t>
            </w:r>
          </w:p>
        </w:tc>
        <w:tc>
          <w:tcPr>
            <w:tcW w:type="dxa" w:w="22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R$ 152.410,00 / ano</w:t>
            </w:r>
            <w:r>
              <w:rPr>
                <w:rFonts w:ascii="Calibri" w:hAnsi="Calibri"/>
                <w:sz w:val="20"/>
              </w:rPr>
              <w:t xml:space="preserve"> R$ 12.700,83 / mês</w:t>
            </w:r>
          </w:p>
        </w:tc>
        <w:tc>
          <w:tcPr>
            <w:tcW w:type="dxa" w:w="2296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R$ 48,29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doze meses pagos como dez; os ciclos do ano, painel permanente, reavaliação por medida implementada e comparação de eficácia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b/>
                <w:sz w:val="20"/>
              </w:rPr>
              <w:t>Mensal</w:t>
            </w:r>
            <w:r>
              <w:rPr>
                <w:rFonts w:ascii="Calibri" w:hAnsi="Calibri"/>
                <w:sz w:val="20"/>
              </w:rPr>
              <w:t>, sem prazo</w:t>
            </w:r>
          </w:p>
        </w:tc>
        <w:tc>
          <w:tcPr>
            <w:tcW w:type="dxa" w:w="22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R$ 12.954,85 / mês</w:t>
            </w:r>
            <w:r>
              <w:rPr>
                <w:rFonts w:ascii="Calibri" w:hAnsi="Calibri"/>
                <w:sz w:val="20"/>
              </w:rPr>
              <w:t xml:space="preserve"> com pioneiro</w:t>
            </w:r>
          </w:p>
        </w:tc>
        <w:tc>
          <w:tcPr>
            <w:tcW w:type="dxa" w:w="2296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R$ 49,26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>o mesmo escopo, cancelável a qualquer momento</w:t>
            </w:r>
          </w:p>
        </w:tc>
      </w:tr>
      <w:tr>
        <w:tc>
          <w:tcPr>
            <w:tcW w:type="dxa" w:w="2296"/>
          </w:tcPr>
          <w:p>
            <w:r/>
            <w:r>
              <w:rPr>
                <w:rFonts w:ascii="Calibri" w:hAnsi="Calibri"/>
                <w:b/>
                <w:sz w:val="20"/>
              </w:rPr>
              <w:t>Ciclo fechado</w:t>
            </w:r>
          </w:p>
        </w:tc>
        <w:tc>
          <w:tcPr>
            <w:tcW w:type="dxa" w:w="2296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R$ 77.729,10</w:t>
            </w:r>
            <w:r>
              <w:rPr>
                <w:rFonts w:ascii="Calibri" w:hAnsi="Calibri"/>
                <w:sz w:val="20"/>
              </w:rPr>
              <w:t xml:space="preserve"> com pioneiro</w:t>
            </w:r>
          </w:p>
        </w:tc>
        <w:tc>
          <w:tcPr>
            <w:tcW w:type="dxa" w:w="2296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296"/>
          </w:tcPr>
          <w:p>
            <w:r/>
            <w:r>
              <w:rPr>
                <w:rFonts w:ascii="Calibri" w:hAnsi="Calibri"/>
                <w:sz w:val="20"/>
              </w:rPr>
              <w:t xml:space="preserve">uma campanha completa com os três documentos do PGR; </w:t>
            </w:r>
            <w:r>
              <w:rPr>
                <w:rFonts w:ascii="Calibri" w:hAnsi="Calibri"/>
                <w:b/>
                <w:sz w:val="20"/>
              </w:rPr>
              <w:t>sem</w:t>
            </w:r>
            <w:r>
              <w:rPr>
                <w:rFonts w:ascii="Calibri" w:hAnsi="Calibri"/>
                <w:sz w:val="20"/>
              </w:rPr>
              <w:t xml:space="preserve"> painel permanente nem comparação entre ciclos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</w:rPr>
        <w:t>Os descontos não são cumulativos.</w:t>
      </w:r>
      <w:r>
        <w:rPr>
          <w:rFonts w:ascii="Calibri" w:hAnsi="Calibri"/>
        </w:rPr>
        <w:t xml:space="preserve"> A condição de pioneiro — 15% para contratação até 31 de dezembro de 2026 — aplica-se ao mensal e ao ciclo fechado. O anual já carrega o próprio desconto, de dois meses.</w:t>
      </w:r>
    </w:p>
    <w:p>
      <w:r>
        <w:rPr>
          <w:rFonts w:ascii="Calibri" w:hAnsi="Calibri"/>
          <w:b/>
        </w:rPr>
        <w:t>Por que recomendamos o anual.</w:t>
      </w:r>
      <w:r>
        <w:rPr>
          <w:rFonts w:ascii="Calibri" w:hAnsi="Calibri"/>
        </w:rPr>
        <w:t xml:space="preserve"> A prova de eficácia é exigência do subitem 1.5.4.4.5.3 e é o nosso diferencial — e ela só existe comparando ciclos. Campanha avulsa entrega um retrato; a assinatura entrega evidência de gestão. O anual é também o menor custo por trabalhador entre os três.</w:t>
      </w:r>
    </w:p>
    <w:p>
      <w:pPr>
        <w:keepNext/>
        <w:spacing w:before="240" w:after="120"/>
      </w:pPr>
      <w:r>
        <w:rPr>
          <w:rFonts w:ascii="Calibri" w:hAnsi="Calibri"/>
          <w:b/>
          <w:color w:val="A2570C"/>
          <w:sz w:val="22"/>
        </w:rPr>
        <w:t>Item adicional — condução da AEP em campo</w:t>
      </w:r>
    </w:p>
    <w:p>
      <w:r>
        <w:rPr>
          <w:rFonts w:ascii="Calibri" w:hAnsi="Calibri"/>
        </w:rPr>
        <w:t>A observação da atividade real e o diálogo com os trabalhadores são exigidos pela AEP e feitos por pessoa, não por sistema. Opcional, cotado por estabelecimento.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Modalidade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Por estabelecimento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Presencial, até 50 trabalhadores no endereço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R$ 2.900,00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Presencial, de 51 a 150 trabalhadores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R$ 4.400,00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Remota — rodas de diálogo por vídeo e análise documental</w:t>
            </w:r>
          </w:p>
        </w:tc>
        <w:tc>
          <w:tcPr>
            <w:tcW w:type="dxa" w:w="4592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R$ 1.600,00</w:t>
            </w:r>
          </w:p>
        </w:tc>
      </w:tr>
    </w:tbl>
    <w:p>
      <w:pPr>
        <w:spacing w:after="120"/>
      </w:pPr>
    </w:p>
    <w:p>
      <w:r>
        <w:rPr>
          <w:rFonts w:ascii="Calibri" w:hAnsi="Calibri"/>
        </w:rPr>
        <w:t>Deslocamento e hospedagem reembolsados a custo. A modalidade remota se aplica a endereço de atividade administrativa, onde a observação presencial não acrescenta ao que o diálogo e os documentos já mostram; em operação industrial, logística ou de atendimento presencial, a visita é necessária.</w:t>
      </w:r>
    </w:p>
    <w:p>
      <w:pPr>
        <w:spacing w:after="40"/>
      </w:pPr>
      <w:r>
        <w:rPr>
          <w:rFonts w:ascii="Calibri" w:hAnsi="Calibri"/>
          <w:b/>
        </w:rPr>
        <w:t>Sugestão para a TATICCA:</w:t>
      </w:r>
      <w:r>
        <w:rPr>
          <w:rFonts w:ascii="Calibri" w:hAnsi="Calibri"/>
        </w:rPr>
        <w:t xml:space="preserve"> matriz de São Paulo presencial e os dez demais</w:t>
      </w:r>
    </w:p>
    <w:p>
      <w:r>
        <w:rPr>
          <w:rFonts w:ascii="Calibri" w:hAnsi="Calibri"/>
        </w:rPr>
        <w:t xml:space="preserve">endereços em modalidade remota — </w:t>
      </w:r>
      <w:r>
        <w:rPr>
          <w:rFonts w:ascii="Calibri" w:hAnsi="Calibri"/>
          <w:b/>
        </w:rPr>
        <w:t>R$ 18.900,00</w:t>
      </w:r>
      <w:r>
        <w:rPr>
          <w:rFonts w:ascii="Calibri" w:hAnsi="Calibri"/>
        </w:rPr>
        <w:t>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8. Modelo de canal — TATICCA como parceira</w:t>
      </w:r>
    </w:p>
    <w:p>
      <w:r>
        <w:rPr>
          <w:rFonts w:ascii="Calibri" w:hAnsi="Calibri"/>
        </w:rPr>
        <w:t>Aplicável à carteira de clientes da TATICCA, e não ao ciclo da própria TATICCA.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Item</w:t>
            </w:r>
          </w:p>
        </w:tc>
        <w:tc>
          <w:tcPr>
            <w:tcW w:type="dxa" w:w="4592"/>
            <w:shd w:val="clear" w:fill="EDEFF2"/>
          </w:tcPr>
          <w:p>
            <w:r>
              <w:rPr>
                <w:b/>
                <w:color w:val="4C5768"/>
              </w:rPr>
            </w:r>
            <w:r>
              <w:rPr>
                <w:rFonts w:ascii="Calibri" w:hAnsi="Calibri"/>
                <w:b/>
                <w:color w:val="4C5768"/>
                <w:sz w:val="19"/>
              </w:rPr>
              <w:t>Condição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Desconto de canal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20% de 1 a 9 clientes ativos · 30% de 10 a 29 · 40% a partir de 30 — sobre a tabela vigente, aplicado ao contrato de cada cliente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Marca</w:t>
            </w:r>
          </w:p>
        </w:tc>
        <w:tc>
          <w:tcPr>
            <w:tcW w:type="dxa" w:w="4592"/>
          </w:tcPr>
          <w:p>
            <w:r/>
            <w:r>
              <w:rPr>
                <w:rFonts w:ascii="Consolas" w:hAnsi="Consolas"/>
                <w:color w:val="A2570C"/>
                <w:sz w:val="20"/>
              </w:rPr>
              <w:t>[a definir]</w:t>
            </w:r>
            <w:r>
              <w:rPr>
                <w:rFonts w:ascii="Calibri" w:hAnsi="Calibri"/>
                <w:sz w:val="20"/>
              </w:rPr>
              <w:t xml:space="preserve"> — cofirmado “TATICCA + FROID” ou entrega direta pela TATICCA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Operação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A TATICCA cadastra o cliente, conduz a campanha e assina o parecer; o FROID entrega plataforma, método e documentos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Isolamento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Cada cliente é uma organização isolada. A TATICCA não acessa resposta individual de trabalhador algum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Faturamento</w:t>
            </w:r>
          </w:p>
        </w:tc>
        <w:tc>
          <w:tcPr>
            <w:tcW w:type="dxa" w:w="4592"/>
          </w:tcPr>
          <w:p>
            <w:r/>
            <w:r>
              <w:rPr>
                <w:rFonts w:ascii="Consolas" w:hAnsi="Consolas"/>
                <w:color w:val="A2570C"/>
                <w:sz w:val="20"/>
              </w:rPr>
              <w:t>[a definir]</w:t>
            </w:r>
            <w:r>
              <w:rPr>
                <w:rFonts w:ascii="Calibri" w:hAnsi="Calibri"/>
                <w:sz w:val="20"/>
              </w:rPr>
              <w:t xml:space="preserve"> — direto ao cliente final com repasse, ou à TATICCA com revenda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Piloto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O ciclo dos 263 trabalhadores da TATICCA serve como caso e como treinamento da equipe</w:t>
            </w:r>
          </w:p>
        </w:tc>
      </w:tr>
      <w:tr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Ordem de grandeza</w:t>
            </w:r>
          </w:p>
        </w:tc>
        <w:tc>
          <w:tcPr>
            <w:tcW w:type="dxa" w:w="4592"/>
          </w:tcPr>
          <w:p>
            <w:r/>
            <w:r>
              <w:rPr>
                <w:rFonts w:ascii="Calibri" w:hAnsi="Calibri"/>
                <w:sz w:val="20"/>
              </w:rPr>
              <w:t>400 clientes com 100 trabalhadores em um endereço somam R$ 10.080.000,00/ano de tabela. A 40%, são R$ 4.032.000,00/ano para a TATICCA — recorrente, porque a obrigação se repete a cada ciclo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</w:rPr>
        <w:t>Posicionamento.</w:t>
      </w:r>
      <w:r>
        <w:rPr>
          <w:rFonts w:ascii="Calibri" w:hAnsi="Calibri"/>
        </w:rPr>
        <w:t xml:space="preserve"> O escopo do FROID é deliberadamente limitado ao psicossocial e entregue na escala de gradação que o cliente já usa no resto do PGR. Não emitimos laudo, não assinamos PGR e não substituímos o SESMT — é o que permite que a consultoria de SST seja canal, e não concorrente.</w:t>
      </w:r>
    </w:p>
    <w:p>
      <w:r>
        <w:rPr>
          <w:rFonts w:ascii="Calibri" w:hAnsi="Calibri"/>
          <w:b/>
        </w:rPr>
        <w:t>Recorrência.</w:t>
      </w:r>
      <w:r>
        <w:rPr>
          <w:rFonts w:ascii="Calibri" w:hAnsi="Calibri"/>
        </w:rPr>
        <w:t xml:space="preserve"> A obrigação se repete: revisão a cada dois anos — até três com sistema de gestão de SST certificado — e antecipada por implementação de medidas, mudanças de processo, ineficácia constatada, acidente ou doença, alteração legal e solicitação justificada da CIPA.</w:t>
      </w:r>
    </w:p>
    <w:p>
      <w:pPr>
        <w:spacing w:before="80"/>
        <w:pBdr>
          <w:bottom w:val="single" w:sz="6" w:color="C9CFD8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01620"/>
          <w:sz w:val="28"/>
        </w:rPr>
        <w:t>9. Condições gerais</w:t>
      </w:r>
    </w:p>
    <w:p>
      <w:pPr>
        <w:pStyle w:val="ListBullet"/>
        <w:spacing w:after="80"/>
      </w:pPr>
      <w:r>
        <w:rPr>
          <w:rFonts w:ascii="Calibri" w:hAnsi="Calibri"/>
          <w:b/>
        </w:rPr>
        <w:t>Pagamento: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A2570C"/>
        </w:rPr>
        <w:t>[a definir]</w:t>
      </w:r>
    </w:p>
    <w:p>
      <w:pPr>
        <w:pStyle w:val="ListBullet"/>
        <w:spacing w:after="80"/>
      </w:pPr>
      <w:r>
        <w:rPr>
          <w:rFonts w:ascii="Calibri" w:hAnsi="Calibri"/>
          <w:b/>
        </w:rPr>
        <w:t>Vigência contratual: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color w:val="A2570C"/>
        </w:rPr>
        <w:t>[a definir]</w:t>
      </w:r>
    </w:p>
    <w:p>
      <w:pPr>
        <w:pStyle w:val="ListBullet"/>
        <w:spacing w:after="80"/>
      </w:pPr>
      <w:r>
        <w:rPr>
          <w:rFonts w:ascii="Calibri" w:hAnsi="Calibri"/>
          <w:b/>
        </w:rPr>
        <w:t>Documentos integrantes:</w:t>
      </w:r>
      <w:r>
        <w:rPr>
          <w:rFonts w:ascii="Calibri" w:hAnsi="Calibri"/>
        </w:rPr>
        <w:t xml:space="preserve"> Contrato de Prestação de Serviço FROID Psicossocial, Termos de Uso FROID Psicossocial e esta proposta comercial. Em caso de divergência prevalece o contrato quanto às obrigações jurídicas gerais e a proposta quanto a preço, prazo, quantidade de trabalhadores, estabelecimentos e escopo adicional.</w:t>
      </w:r>
    </w:p>
    <w:p>
      <w:pPr>
        <w:pStyle w:val="ListBullet"/>
        <w:spacing w:after="80"/>
      </w:pPr>
      <w:r>
        <w:rPr>
          <w:rFonts w:ascii="Calibri" w:hAnsi="Calibri"/>
          <w:b/>
        </w:rPr>
        <w:t>Aceite:</w:t>
      </w:r>
      <w:r>
        <w:rPr>
          <w:rFonts w:ascii="Calibri" w:hAnsi="Calibri"/>
        </w:rPr>
        <w:t xml:space="preserve"> registrado no sistema com data, autor e impressão digital (SHA-256) de cada documento aceito, disponível a qualquer momento como comprovante.</w:t>
      </w:r>
    </w:p>
    <w:p>
      <w:pPr>
        <w:pStyle w:val="ListBullet"/>
        <w:spacing w:after="80"/>
      </w:pPr>
      <w:r>
        <w:rPr>
          <w:rFonts w:ascii="Calibri" w:hAnsi="Calibri"/>
          <w:b/>
        </w:rPr>
        <w:t>Proteção de dados:</w:t>
      </w:r>
      <w:r>
        <w:rPr>
          <w:rFonts w:ascii="Calibri" w:hAnsi="Calibri"/>
        </w:rPr>
        <w:t xml:space="preserve"> o tratamento tem por base o cumprimento de obrigação legal do empregador (LGPD, art. 7º, II e art. 11, II, “a”), e não o consentimento do trabalhador.</w:t>
      </w:r>
    </w:p>
    <w:p>
      <w:pPr>
        <w:spacing w:before="80"/>
        <w:pBdr>
          <w:bottom w:val="single" w:sz="6" w:color="C9CFD8"/>
        </w:pBdr>
      </w:pPr>
    </w:p>
    <w:p>
      <w:r>
        <w:rPr>
          <w:rFonts w:ascii="Calibri" w:hAnsi="Calibri"/>
        </w:rPr>
        <w:t>FROID · froid@froid.com.br · www.froid.com.br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016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