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color w:val="101620"/>
          <w:sz w:val="40"/>
        </w:rPr>
        <w:t>Abordagem a conselheiro e executivo sênior — modelo replicável</w:t>
      </w:r>
    </w:p>
    <w:p>
      <w:r>
        <w:rPr>
          <w:rFonts w:ascii="Calibri" w:hAnsi="Calibri"/>
        </w:rPr>
        <w:t>Escrito em 31/08/2026 a partir da mensagem a Franklin Feder. Serve para qualquer contato frio com quem senta em conselho, ocupa diretoria estatutária ou lidera SST/Jurídico em companhia de grande porte.</w:t>
      </w:r>
    </w:p>
    <w:p>
      <w:r>
        <w:rPr>
          <w:rFonts w:ascii="Calibri" w:hAnsi="Calibri"/>
          <w:b/>
        </w:rPr>
        <w:t>A mensagem final ao Feder está no item 4, pronta para enviar.</w:t>
      </w:r>
      <w:r>
        <w:rPr>
          <w:rFonts w:ascii="Calibri" w:hAnsi="Calibri"/>
        </w:rPr>
        <w:t xml:space="preserve"> Os itens 1 a 3 existem para você replicá-la sem perder o que a faz funcionar.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1. As seis regras que sustentam este texto</w:t>
      </w:r>
    </w:p>
    <w:p>
      <w:r>
        <w:rPr>
          <w:rFonts w:ascii="Calibri" w:hAnsi="Calibri"/>
        </w:rPr>
        <w:t>Cada uma custou uma decisão. Quebrar qualquer uma enfraquece o conjunto.</w:t>
      </w:r>
    </w:p>
    <w:p>
      <w:r>
        <w:rPr>
          <w:rFonts w:ascii="Calibri" w:hAnsi="Calibri"/>
          <w:b/>
        </w:rPr>
        <w:t>1. Abra pela ISO 45003, nunca pela NR-1.</w:t>
      </w:r>
      <w:r>
        <w:rPr>
          <w:rFonts w:ascii="Calibri" w:hAnsi="Calibri"/>
        </w:rPr>
        <w:t xml:space="preserve"> Para quem acompanha companhias em mais de um país, uma portaria brasileira é matéria de uma jurisdição entre várias. Uma norma ISO é linguagem comum a todos os conselhos em que a pessoa senta. A NR-1 entra como </w:t>
      </w:r>
      <w:r>
        <w:rPr>
          <w:rFonts w:ascii="Calibri" w:hAnsi="Calibri"/>
          <w:i/>
        </w:rPr>
        <w:t>evidência</w:t>
      </w:r>
      <w:r>
        <w:rPr>
          <w:rFonts w:ascii="Calibri" w:hAnsi="Calibri"/>
        </w:rPr>
        <w:t xml:space="preserve"> do argumento, não como assunto dele.</w:t>
      </w:r>
    </w:p>
    <w:p>
      <w:r>
        <w:rPr>
          <w:rFonts w:ascii="Calibri" w:hAnsi="Calibri"/>
          <w:b/>
        </w:rPr>
        <w:t>2. Entregue a correção antes que o outro a encontre.</w:t>
      </w:r>
      <w:r>
        <w:rPr>
          <w:rFonts w:ascii="Calibri" w:hAnsi="Calibri"/>
        </w:rPr>
        <w:t xml:space="preserve"> Um ex-CEO de multinacional pode saber que a Europa e a Austrália regularam risco psicossocial antes do Brasil. Se ele descobre sozinho que você exagerou o ineditismo, perde a confiança em tudo o mais. Entregando você compra credibilidade — e o argumento melhora: </w:t>
      </w:r>
      <w:r>
        <w:rPr>
          <w:rFonts w:ascii="Calibri" w:hAnsi="Calibri"/>
          <w:i/>
        </w:rPr>
        <w:t>"não fomos os primeiros, fomos os mais duros"</w:t>
      </w:r>
      <w:r>
        <w:rPr>
          <w:rFonts w:ascii="Calibri" w:hAnsi="Calibri"/>
        </w:rPr>
        <w:t xml:space="preserve"> é mais interessante que </w:t>
      </w:r>
      <w:r>
        <w:rPr>
          <w:rFonts w:ascii="Calibri" w:hAnsi="Calibri"/>
          <w:i/>
        </w:rPr>
        <w:t>"fomos os primeiros"</w:t>
      </w:r>
      <w:r>
        <w:rPr>
          <w:rFonts w:ascii="Calibri" w:hAnsi="Calibri"/>
        </w:rPr>
        <w:t>.</w:t>
      </w:r>
    </w:p>
    <w:p>
      <w:r>
        <w:rPr>
          <w:rFonts w:ascii="Calibri" w:hAnsi="Calibri"/>
          <w:b/>
        </w:rPr>
        <w:t>3. Não reivindique primazia de ninguém.</w:t>
      </w:r>
      <w:r>
        <w:rPr>
          <w:rFonts w:ascii="Calibri" w:hAnsi="Calibri"/>
        </w:rPr>
        <w:t xml:space="preserve"> Correção da correção: a Austrália também não foi a primeira. A Bélgica legislou em 2014, a Suécia tem a AFS 2015:4 em vigor desde 2016, e o dever geral europeu é de 1989. Dizer "a Austrália chegou antes" reintroduz o mesmo risco que a regra 2 evita. </w:t>
      </w:r>
      <w:r>
        <w:rPr>
          <w:rFonts w:ascii="Calibri" w:hAnsi="Calibri"/>
          <w:b/>
        </w:rPr>
        <w:t>Diga a distinção, não a corrida:</w:t>
      </w:r>
      <w:r>
        <w:rPr>
          <w:rFonts w:ascii="Calibri" w:hAnsi="Calibri"/>
        </w:rPr>
        <w:t xml:space="preserve"> vários países exigem há mais de uma década, quase sempre como dever de conduta; o Brasil exige artefato.</w:t>
      </w:r>
    </w:p>
    <w:p>
      <w:r>
        <w:rPr>
          <w:rFonts w:ascii="Calibri" w:hAnsi="Calibri"/>
          <w:b/>
        </w:rPr>
        <w:t>4. Não nomeie a empresa alvo.</w:t>
      </w:r>
      <w:r>
        <w:rPr>
          <w:rFonts w:ascii="Calibri" w:hAnsi="Calibri"/>
        </w:rPr>
        <w:t xml:space="preserve"> Quem senta em vários conselhos aciona filtro de compliance no instante em que a mensagem vira pitch para uma companhia específica. </w:t>
      </w:r>
      <w:r>
        <w:rPr>
          <w:rFonts w:ascii="Calibri" w:hAnsi="Calibri"/>
          <w:i/>
        </w:rPr>
        <w:t>"Companhias que o senhor acompanha"</w:t>
      </w:r>
      <w:r>
        <w:rPr>
          <w:rFonts w:ascii="Calibri" w:hAnsi="Calibri"/>
        </w:rPr>
        <w:t xml:space="preserve"> deixa que ele mesmo faça a aplicação — e ele fará, provavelmente para mais de uma.</w:t>
      </w:r>
    </w:p>
    <w:p>
      <w:r>
        <w:rPr>
          <w:rFonts w:ascii="Calibri" w:hAnsi="Calibri"/>
          <w:b/>
        </w:rPr>
        <w:t>5. Nunca cite um nome como alavanca.</w:t>
      </w:r>
      <w:r>
        <w:rPr>
          <w:rFonts w:ascii="Calibri" w:hAnsi="Calibri"/>
        </w:rPr>
        <w:t xml:space="preserve"> Mencionar o presidente do conselho, um amigo em comum ou um acionista, em contato frio, lê como tentativa de pressão e produz o efeito contrário.</w:t>
      </w:r>
    </w:p>
    <w:p>
      <w:r>
        <w:rPr>
          <w:rFonts w:ascii="Calibri" w:hAnsi="Calibri"/>
          <w:b/>
        </w:rPr>
        <w:t>6. Encerre renunciando ao pedido.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</w:rPr>
        <w:t>"Não peço encaminhamento a ninguém"</w:t>
      </w:r>
      <w:r>
        <w:rPr>
          <w:rFonts w:ascii="Calibri" w:hAnsi="Calibri"/>
        </w:rPr>
        <w:t xml:space="preserve"> é a frase que torna a mensagem aceitável para um conselheiro profissional. Sem relação prévia, ela precisa ser explícita.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2. O esqueleto, com as partes que variam</w:t>
      </w:r>
    </w:p>
    <w:p>
      <w:r>
        <w:rPr>
          <w:rFonts w:ascii="Calibri" w:hAnsi="Calibri"/>
        </w:rPr>
        <w:t xml:space="preserve">Seis blocos. Os </w:t>
      </w:r>
      <w:r>
        <w:rPr>
          <w:rFonts w:ascii="Consolas" w:hAnsi="Consolas"/>
          <w:color w:val="A2570C"/>
        </w:rPr>
        <w:t>[colchetes]</w:t>
      </w:r>
      <w:r>
        <w:rPr>
          <w:rFonts w:ascii="Calibri" w:hAnsi="Calibri"/>
        </w:rPr>
        <w:t xml:space="preserve"> são o que muda por destinatário.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#</w:t>
            </w:r>
          </w:p>
        </w:tc>
        <w:tc>
          <w:tcPr>
            <w:tcW w:type="dxa" w:w="2296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Bloco</w:t>
            </w:r>
          </w:p>
        </w:tc>
        <w:tc>
          <w:tcPr>
            <w:tcW w:type="dxa" w:w="2296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O que faz</w:t>
            </w:r>
          </w:p>
        </w:tc>
        <w:tc>
          <w:tcPr>
            <w:tcW w:type="dxa" w:w="2296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Varia?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Abertura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Uma linha: quem é você, e que o tema é de conselho e não de compra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A norma internacional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ISO 45003 dentro de ISO 45001 — a camada que a empresa dele já tem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O vácuo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 xml:space="preserve">O que a 45003 </w:t>
            </w:r>
            <w:r>
              <w:rPr>
                <w:rFonts w:ascii="Calibri" w:hAnsi="Calibri"/>
                <w:b/>
                <w:sz w:val="20"/>
              </w:rPr>
              <w:t>não</w:t>
            </w:r>
            <w:r>
              <w:rPr>
                <w:rFonts w:ascii="Calibri" w:hAnsi="Calibri"/>
                <w:sz w:val="20"/>
              </w:rPr>
              <w:t xml:space="preserve"> faz: não certifica, não mede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A prova documental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NR-1 como evidência, com a distinção conduta × artefato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O critério do MTE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O trecho que transforma lastro normativo em requisito de perícia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O produto, em dois pontos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Fronteira estrutural e eficácia medida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/>
                <w:color w:val="A2570C"/>
                <w:sz w:val="20"/>
              </w:rPr>
              <w:t>[ajustar ao setor]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Os limites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O que não faz, dito antes da pergunta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não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Fecho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Renúncia ao pedido, e meia hora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/>
                <w:color w:val="A2570C"/>
                <w:sz w:val="20"/>
              </w:rPr>
              <w:t>[o que ele decide]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hAnsi="Calibri"/>
          <w:b/>
        </w:rPr>
        <w:t>O que ajustar por destinatário, e só isso:</w:t>
      </w:r>
    </w:p>
    <w:p>
      <w:pPr>
        <w:pStyle w:val="ListBullet"/>
        <w:spacing w:after="80"/>
      </w:pPr>
      <w:r>
        <w:rPr>
          <w:rFonts w:ascii="Calibri" w:hAnsi="Calibri"/>
          <w:b/>
        </w:rPr>
        <w:t>A abertura</w:t>
      </w:r>
      <w:r>
        <w:rPr>
          <w:rFonts w:ascii="Calibri" w:hAnsi="Calibri"/>
        </w:rPr>
        <w:t>, se houver relação prévia — aí ela substitui a regra 6.</w:t>
      </w:r>
    </w:p>
    <w:p>
      <w:pPr>
        <w:pStyle w:val="ListBullet"/>
        <w:spacing w:after="80"/>
      </w:pPr>
      <w:r>
        <w:rPr>
          <w:rFonts w:ascii="Calibri" w:hAnsi="Calibri"/>
          <w:b/>
        </w:rPr>
        <w:t>O bloco 6</w:t>
      </w:r>
      <w:r>
        <w:rPr>
          <w:rFonts w:ascii="Calibri" w:hAnsi="Calibri"/>
        </w:rPr>
        <w:t xml:space="preserve">, escolhendo o argumento que fala com o setor: indústria e mineração respondem a </w:t>
      </w:r>
      <w:r>
        <w:rPr>
          <w:rFonts w:ascii="Calibri" w:hAnsi="Calibri"/>
          <w:i/>
        </w:rPr>
        <w:t>sistema de gestão já certificado</w:t>
      </w:r>
      <w:r>
        <w:rPr>
          <w:rFonts w:ascii="Calibri" w:hAnsi="Calibri"/>
        </w:rPr>
        <w:t xml:space="preserve">; serviços e varejo, a </w:t>
      </w:r>
      <w:r>
        <w:rPr>
          <w:rFonts w:ascii="Calibri" w:hAnsi="Calibri"/>
          <w:i/>
        </w:rPr>
        <w:t>absenteísmo e passivo trabalhista</w:t>
      </w:r>
      <w:r>
        <w:rPr>
          <w:rFonts w:ascii="Calibri" w:hAnsi="Calibri"/>
        </w:rPr>
        <w:t xml:space="preserve">; tecnologia, a </w:t>
      </w:r>
      <w:r>
        <w:rPr>
          <w:rFonts w:ascii="Calibri" w:hAnsi="Calibri"/>
          <w:i/>
        </w:rPr>
        <w:t>dado sensível e LGPD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  <w:b/>
        </w:rPr>
        <w:t>O fecho</w:t>
      </w:r>
      <w:r>
        <w:rPr>
          <w:rFonts w:ascii="Calibri" w:hAnsi="Calibri"/>
        </w:rPr>
        <w:t>, nomeando o que ele decide: pauta em conselho, piloto numa unidade, ou apresentação ao comitê de auditoria.</w:t>
      </w:r>
    </w:p>
    <w:p>
      <w:pPr>
        <w:spacing w:after="40"/>
      </w:pPr>
      <w:r>
        <w:rPr>
          <w:rFonts w:ascii="Calibri" w:hAnsi="Calibri"/>
          <w:b/>
        </w:rPr>
        <w:t>O que nunca muda:</w:t>
      </w:r>
      <w:r>
        <w:rPr>
          <w:rFonts w:ascii="Calibri" w:hAnsi="Calibri"/>
        </w:rPr>
        <w:t xml:space="preserve"> os blocos 2 a 5 e o 7. Eles são o argumento, e ele não é</w:t>
      </w:r>
    </w:p>
    <w:p>
      <w:r>
        <w:rPr>
          <w:rFonts w:ascii="Calibri" w:hAnsi="Calibri"/>
        </w:rPr>
        <w:t>sobre a empresa dele — é sobre o estado do campo.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3. Erros que anulam o esforço</w:t>
      </w:r>
    </w:p>
    <w:p>
      <w:pPr>
        <w:pStyle w:val="ListBullet"/>
        <w:spacing w:after="80"/>
      </w:pPr>
      <w:r>
        <w:rPr>
          <w:rFonts w:ascii="Calibri" w:hAnsi="Calibri"/>
          <w:b/>
        </w:rPr>
        <w:t>Prometer conformidade.</w:t>
      </w:r>
      <w:r>
        <w:rPr>
          <w:rFonts w:ascii="Calibri" w:hAnsi="Calibri"/>
        </w:rPr>
        <w:t xml:space="preserve"> Num mercado onde todo fornecedor promete desde maio, ser o único que enumera o que </w:t>
      </w:r>
      <w:r>
        <w:rPr>
          <w:rFonts w:ascii="Calibri" w:hAnsi="Calibri"/>
          <w:b/>
        </w:rPr>
        <w:t>não</w:t>
      </w:r>
      <w:r>
        <w:rPr>
          <w:rFonts w:ascii="Calibri" w:hAnsi="Calibri"/>
        </w:rPr>
        <w:t xml:space="preserve"> faz é o que um conselheiro experiente reconhece em trinta segundos.</w:t>
      </w:r>
    </w:p>
    <w:p>
      <w:pPr>
        <w:pStyle w:val="ListBullet"/>
        <w:spacing w:after="80"/>
      </w:pPr>
      <w:r>
        <w:rPr>
          <w:rFonts w:ascii="Calibri" w:hAnsi="Calibri"/>
          <w:b/>
        </w:rPr>
        <w:t>Dizer "certificação ISO 45003".</w:t>
      </w:r>
      <w:r>
        <w:rPr>
          <w:rFonts w:ascii="Calibri" w:hAnsi="Calibri"/>
        </w:rPr>
        <w:t xml:space="preserve"> Não existe. A norma é de diretrizes e não comporta certificação acreditada. É a afirmação que mais rápido destrói credibilidade com quem já passou por auditoria de sistema de gestão.</w:t>
      </w:r>
    </w:p>
    <w:p>
      <w:pPr>
        <w:pStyle w:val="ListBullet"/>
        <w:spacing w:after="80"/>
      </w:pPr>
      <w:r>
        <w:rPr>
          <w:rFonts w:ascii="Calibri" w:hAnsi="Calibri"/>
          <w:b/>
        </w:rPr>
        <w:t>Citar subitem errado.</w:t>
      </w:r>
      <w:r>
        <w:rPr>
          <w:rFonts w:ascii="Calibri" w:hAnsi="Calibri"/>
        </w:rPr>
        <w:t xml:space="preserve"> Se for citar número de norma, confira. </w:t>
      </w:r>
      <w:r>
        <w:rPr>
          <w:rFonts w:ascii="Consolas" w:hAnsi="Consolas"/>
          <w:color w:val="A2570C"/>
        </w:rPr>
        <w:t>1.5.4.4.5.3</w:t>
      </w:r>
      <w:r>
        <w:rPr>
          <w:rFonts w:ascii="Calibri" w:hAnsi="Calibri"/>
        </w:rPr>
        <w:t xml:space="preserve"> é eficácia na graduação da probabilidade; </w:t>
      </w:r>
      <w:r>
        <w:rPr>
          <w:rFonts w:ascii="Consolas" w:hAnsi="Consolas"/>
          <w:color w:val="A2570C"/>
        </w:rPr>
        <w:t>1.5.4.4.2.1</w:t>
      </w:r>
      <w:r>
        <w:rPr>
          <w:rFonts w:ascii="Calibri" w:hAnsi="Calibri"/>
        </w:rPr>
        <w:t xml:space="preserve"> é adequação da ferramenta ao risco; </w:t>
      </w:r>
      <w:r>
        <w:rPr>
          <w:rFonts w:ascii="Consolas" w:hAnsi="Consolas"/>
          <w:color w:val="A2570C"/>
        </w:rPr>
        <w:t>17.3.2</w:t>
      </w:r>
      <w:r>
        <w:rPr>
          <w:rFonts w:ascii="Calibri" w:hAnsi="Calibri"/>
        </w:rPr>
        <w:t xml:space="preserve"> da NR-17 dispara a </w:t>
      </w:r>
      <w:r>
        <w:rPr>
          <w:rFonts w:ascii="Calibri" w:hAnsi="Calibri"/>
          <w:b/>
        </w:rPr>
        <w:t>AET — Análise Ergonômica do Trabalho</w:t>
      </w:r>
      <w:r>
        <w:rPr>
          <w:rFonts w:ascii="Calibri" w:hAnsi="Calibri"/>
        </w:rPr>
        <w:t>, que é o nome próprio do instrumento.</w:t>
      </w:r>
    </w:p>
    <w:p>
      <w:pPr>
        <w:pStyle w:val="ListBullet"/>
        <w:spacing w:after="80"/>
      </w:pPr>
      <w:r>
        <w:rPr>
          <w:rFonts w:ascii="Calibri" w:hAnsi="Calibri"/>
          <w:b/>
        </w:rPr>
        <w:t>Anexar apresentação.</w:t>
      </w:r>
      <w:r>
        <w:rPr>
          <w:rFonts w:ascii="Calibri" w:hAnsi="Calibri"/>
        </w:rPr>
        <w:t xml:space="preserve"> Contato frio com anexo vira spam. Um link, no fim.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4. A mensagem — versão final</w:t>
      </w:r>
    </w:p>
    <w:p>
      <w:pPr>
        <w:spacing w:before="160" w:after="200"/>
        <w:ind w:left="340"/>
      </w:pPr>
      <w:r>
        <w:rPr>
          <w:rFonts w:ascii="Calibri" w:hAnsi="Calibri"/>
          <w:b/>
          <w:color w:val="A2570C"/>
          <w:sz w:val="20"/>
        </w:rPr>
        <w:t>Assunto:</w:t>
      </w:r>
      <w:r>
        <w:rPr>
          <w:rFonts w:ascii="Calibri" w:hAnsi="Calibri"/>
          <w:color w:val="A2570C"/>
          <w:sz w:val="20"/>
        </w:rPr>
        <w:t xml:space="preserve"> ISO 45003 sem instrumento — e a jurisdição que transformou isso em prova documental  Franklin, bom dia.  Sou Fábio Benhayon. Escrevo por um tema que me parece de conselho, não de compra, e serei direto porque seu tempo é caro.  A ISO 45003:2021 é a referência internacional para gestão de risco psicossocial e, por definição da própria ISO, opera dentro de um sistema baseado na ISO 45001 — é a camada psicossocial de algo que a maior parte das companhias industriais que o senhor acompanha já tem certificado e auditado.  O problema é o que ela não faz. Sendo norma de diretrizes, não é certificável e, sobretudo, </w:t>
      </w:r>
      <w:r>
        <w:rPr>
          <w:rFonts w:ascii="Calibri" w:hAnsi="Calibri"/>
          <w:b/>
          <w:color w:val="A2570C"/>
          <w:sz w:val="20"/>
        </w:rPr>
        <w:t>não é instrumento de avaliação</w:t>
      </w:r>
      <w:r>
        <w:rPr>
          <w:rFonts w:ascii="Calibri" w:hAnsi="Calibri"/>
          <w:color w:val="A2570C"/>
          <w:sz w:val="20"/>
        </w:rPr>
        <w:t xml:space="preserve">: não mede, não classifica, não gera inventário. Define o que gerenciar e dentro de qual sistema, e para no ponto em que a operação começa. Existe uma referência global consolidada e um vácuo de método embaixo dela.  O Brasil é onde esse vácuo ficou visível, e é a razão desta mensagem.  A Portaria MTE 1.419/2024 incluiu os fatores psicossociais no inventário de riscos do PGR; a vigência começou em 26 de maio de 2026 e o período de dupla visita orientativa encerrou em 24 de agosto. Não menciono multa — para companhias deste porte ela é irrelevante. O que não é irrelevante é a natureza da exigência. Vários países regulam risco psicossocial há mais de uma década, quase sempre como </w:t>
      </w:r>
      <w:r>
        <w:rPr>
          <w:rFonts w:ascii="Calibri" w:hAnsi="Calibri"/>
          <w:b/>
          <w:color w:val="A2570C"/>
          <w:sz w:val="20"/>
        </w:rPr>
        <w:t>dever de conduta</w:t>
      </w:r>
      <w:r>
        <w:rPr>
          <w:rFonts w:ascii="Calibri" w:hAnsi="Calibri"/>
          <w:color w:val="A2570C"/>
          <w:sz w:val="20"/>
        </w:rPr>
        <w:t xml:space="preserve">: agir na medida do razoavelmente praticável. A NR-1 não pede razoabilidade, pede </w:t>
      </w:r>
      <w:r>
        <w:rPr>
          <w:rFonts w:ascii="Calibri" w:hAnsi="Calibri"/>
          <w:b/>
          <w:color w:val="A2570C"/>
          <w:sz w:val="20"/>
        </w:rPr>
        <w:t>artefato</w:t>
      </w:r>
      <w:r>
        <w:rPr>
          <w:rFonts w:ascii="Calibri" w:hAnsi="Calibri"/>
          <w:color w:val="A2570C"/>
          <w:sz w:val="20"/>
        </w:rPr>
        <w:t xml:space="preserve"> — inventário com nove informações mínimas, plano de ação com cronograma, responsável, forma de acompanhamento e forma de aferição, documento de critérios do GRO, e o subitem 1.5.4.4.5.3, que manda considerar a eficácia das medidas já implementadas ao graduar a probabilidade do risco.  O Brasil não foi o primeiro a exigir. Foi o que tornou documental. E um instrumento construído para sobreviver a perícia documental atende com folga um regime de dever de conduta — o inverso não é verdade.  O ponto mais importante desta mensagem, porém, é outro. O guia oficial do MTE sobre riscos psicossociais declara que o Ministério </w:t>
      </w:r>
      <w:r>
        <w:rPr>
          <w:rFonts w:ascii="Calibri" w:hAnsi="Calibri"/>
          <w:b/>
          <w:color w:val="A2570C"/>
          <w:sz w:val="20"/>
        </w:rPr>
        <w:t>não define nem sugere metodologia</w:t>
      </w:r>
      <w:r>
        <w:rPr>
          <w:rFonts w:ascii="Calibri" w:hAnsi="Calibri"/>
          <w:color w:val="A2570C"/>
          <w:sz w:val="20"/>
        </w:rPr>
        <w:t xml:space="preserve"> — a escolha é da empresa — e estabelece que a ferramenta precisa ser adequada ao risco em avaliação, pelo subitem 1.5.4.4.2.1, e estar cientificamente fundamentada, isto é, ter </w:t>
      </w:r>
      <w:r>
        <w:rPr>
          <w:rFonts w:ascii="Calibri" w:hAnsi="Calibri"/>
          <w:i/>
          <w:color w:val="A2570C"/>
          <w:sz w:val="20"/>
        </w:rPr>
        <w:t>"um órgão ou instituição de SST, nacional ou internacional, que lhe dê embasamento e suporte"</w:t>
      </w:r>
      <w:r>
        <w:rPr>
          <w:rFonts w:ascii="Calibri" w:hAnsi="Calibri"/>
          <w:color w:val="A2570C"/>
          <w:sz w:val="20"/>
        </w:rPr>
        <w:t xml:space="preserve">. O mesmo guia cita a ISO 45003 três vezes, e exige que o questionário mantenha o anonimato garantido ao trabalhador.  Em perícia, portanto, a pergunta não será </w:t>
      </w:r>
      <w:r>
        <w:rPr>
          <w:rFonts w:ascii="Calibri" w:hAnsi="Calibri"/>
          <w:i/>
          <w:color w:val="A2570C"/>
          <w:sz w:val="20"/>
        </w:rPr>
        <w:t>"usaram uma ferramenta?"</w:t>
      </w:r>
      <w:r>
        <w:rPr>
          <w:rFonts w:ascii="Calibri" w:hAnsi="Calibri"/>
          <w:color w:val="A2570C"/>
          <w:sz w:val="20"/>
        </w:rPr>
        <w:t xml:space="preserve">. Será </w:t>
      </w:r>
      <w:r>
        <w:rPr>
          <w:rFonts w:ascii="Calibri" w:hAnsi="Calibri"/>
          <w:i/>
          <w:color w:val="A2570C"/>
          <w:sz w:val="20"/>
        </w:rPr>
        <w:t>"com base em quê a escolheram?"</w:t>
      </w:r>
      <w:r>
        <w:rPr>
          <w:rFonts w:ascii="Calibri" w:hAnsi="Calibri"/>
          <w:color w:val="A2570C"/>
          <w:sz w:val="20"/>
        </w:rPr>
        <w:t xml:space="preserve">. Quem não puder nomear a instituição que dá lastro ao instrumento tem documento sem fundamento — e o critério está publicado, o que significa que o auditor fiscal já o tem em mãos.  Desenvolvi uma plataforma brasileira, o FROID Psicossocial, ancorada na ISO 45003 e desenhada apenas para esse escopo. Dois pontos que imagino serem os relevantes para quem senta em conselho.  </w:t>
      </w:r>
      <w:r>
        <w:rPr>
          <w:rFonts w:ascii="Calibri" w:hAnsi="Calibri"/>
          <w:b/>
          <w:color w:val="A2570C"/>
          <w:sz w:val="20"/>
        </w:rPr>
        <w:t>A separação entre empregador e resposta individual é estrutural, não configurável.</w:t>
      </w:r>
      <w:r>
        <w:rPr>
          <w:rFonts w:ascii="Calibri" w:hAnsi="Calibri"/>
          <w:color w:val="A2570C"/>
          <w:sz w:val="20"/>
        </w:rPr>
        <w:t xml:space="preserve"> As tabelas de resposta não têm política de leitura no banco de dados, e a única saída é uma função de agregação que já aplica pisos mínimos de grupo — 15 respostas na campanha, 10 por recorte. Não existe campo para nome de trabalhador. Isso reduz a superfície de tratamento de dado sensível de saúde e, mais importante, faz o trabalhador responder o que é verdade em vez do que é seguro. Sem isso, o instrumento mede medo, não exposição.  </w:t>
      </w:r>
      <w:r>
        <w:rPr>
          <w:rFonts w:ascii="Calibri" w:hAnsi="Calibri"/>
          <w:b/>
          <w:color w:val="A2570C"/>
          <w:sz w:val="20"/>
        </w:rPr>
        <w:t>A plataforma mede eficácia em vez de afirmá-la.</w:t>
      </w:r>
      <w:r>
        <w:rPr>
          <w:rFonts w:ascii="Calibri" w:hAnsi="Calibri"/>
          <w:color w:val="A2570C"/>
          <w:sz w:val="20"/>
        </w:rPr>
        <w:t xml:space="preserve"> Compara cada setor contra a própria linha de base e se recusa a declarar melhora quando o intervalo de confiança não sustenta. Para quem vai defender o documento anos depois, essa recusa vale mais que a afirmação.  O que não faz, dito antes da pergunta: não emite laudo, não assina o PGR, não substitui o SESMT e não gera eventos de eSocial — ali a exigência é de coerência entre o inventário e o que já foi enviado nos S-2210, S-2220 e S-2240, não de integração automática. E questionário isolado não comprova gestão de risco: ele caracteriza a exposição; a AET — Análise Ergonômica do Trabalho —, exigida nas situações do item 17.3.2 da NR-17, é o método.  Não peço encaminhamento a ninguém. Peço meia hora para o senhor formar juízo próprio sobre se existe aqui um risco que mereça pauta em algum dos conselhos em que atua. Se a conclusão for que não merece, agradeço a leitura e encerro o assunto.  Fábio Benhayon 11 98181-0351 · fbenhayon@froid.com.br www.froid.com.br/iso-45003.html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5. O que mudou da primeira versão, e por quê</w:t>
      </w:r>
    </w:p>
    <w:p>
      <w:pPr>
        <w:pStyle w:val="ListBullet"/>
        <w:spacing w:after="80"/>
      </w:pPr>
      <w:r>
        <w:rPr>
          <w:rFonts w:ascii="Calibri" w:hAnsi="Calibri"/>
          <w:b/>
        </w:rPr>
        <w:t>De ~900 para ~640 palavras.</w:t>
      </w:r>
      <w:r>
        <w:rPr>
          <w:rFonts w:ascii="Calibri" w:hAnsi="Calibri"/>
        </w:rPr>
        <w:t xml:space="preserve"> O parágrafo da Austrália virou uma frase dentro do bloco da exigência; os três diferenciais viraram dois.</w:t>
      </w:r>
    </w:p>
    <w:p>
      <w:pPr>
        <w:pStyle w:val="ListBullet"/>
        <w:spacing w:after="80"/>
      </w:pPr>
      <w:r>
        <w:rPr>
          <w:rFonts w:ascii="Calibri" w:hAnsi="Calibri"/>
          <w:b/>
        </w:rPr>
        <w:t>A primazia australiana saiu</w:t>
      </w:r>
      <w:r>
        <w:rPr>
          <w:rFonts w:ascii="Calibri" w:hAnsi="Calibri"/>
        </w:rPr>
        <w:t>, pela regra 3.</w:t>
      </w:r>
    </w:p>
    <w:p>
      <w:pPr>
        <w:pStyle w:val="ListBullet"/>
        <w:spacing w:after="80"/>
      </w:pPr>
      <w:r>
        <w:rPr>
          <w:rFonts w:ascii="Calibri" w:hAnsi="Calibri"/>
          <w:b/>
        </w:rPr>
        <w:t>"Análise ergonômica aprofundada" virou AET</w:t>
      </w:r>
      <w:r>
        <w:rPr>
          <w:rFonts w:ascii="Calibri" w:hAnsi="Calibri"/>
        </w:rPr>
        <w:t>, que é o nome próprio.</w:t>
      </w:r>
    </w:p>
    <w:p>
      <w:pPr>
        <w:pStyle w:val="ListBullet"/>
        <w:spacing w:after="80"/>
      </w:pPr>
      <w:r>
        <w:rPr>
          <w:rFonts w:ascii="Calibri" w:hAnsi="Calibri"/>
          <w:b/>
        </w:rPr>
        <w:t>Entrou o anonimato exigido pelo guia do MTE</w:t>
      </w:r>
      <w:r>
        <w:rPr>
          <w:rFonts w:ascii="Calibri" w:hAnsi="Calibri"/>
        </w:rPr>
        <w:t xml:space="preserve"> — trecho que fecha o argumento e não estava na primeira versão: o regulador escreveu a exigência que a fronteira imposta pelo banco cumpre por construção.</w:t>
      </w:r>
    </w:p>
    <w:p>
      <w:pPr>
        <w:pStyle w:val="ListBullet"/>
        <w:spacing w:after="80"/>
      </w:pPr>
      <w:r>
        <w:rPr>
          <w:rFonts w:ascii="Calibri" w:hAnsi="Calibri"/>
          <w:b/>
        </w:rPr>
        <w:t>O link final aponta para `iso-45003.html`</w:t>
      </w:r>
      <w:r>
        <w:rPr>
          <w:rFonts w:ascii="Calibri" w:hAnsi="Calibri"/>
        </w:rPr>
        <w:t xml:space="preserve">, e não para </w:t>
      </w:r>
      <w:r>
        <w:rPr>
          <w:rFonts w:ascii="Consolas" w:hAnsi="Consolas"/>
          <w:color w:val="A2570C"/>
        </w:rPr>
        <w:t>empresas.html</w:t>
      </w:r>
      <w:r>
        <w:rPr>
          <w:rFonts w:ascii="Calibri" w:hAnsi="Calibri"/>
        </w:rPr>
        <w:t>. A primeira é a leitura; a segunda é a compra, e este contato não é de compra.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6. Antes de enviar</w:t>
      </w:r>
    </w:p>
    <w:p>
      <w:pPr>
        <w:pStyle w:val="ListBullet"/>
        <w:spacing w:after="80"/>
      </w:pPr>
      <w:r>
        <w:rPr>
          <w:rFonts w:ascii="Calibri" w:hAnsi="Calibri"/>
        </w:rPr>
        <w:t>[ ] Confirmar Bélgica 2014 e Suécia AFS 2015:4 com fonte, se for citá-las em conversa. O texto acima não as cita — mas a pergunta pode vir.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[ ] Conferir que </w:t>
      </w:r>
      <w:r>
        <w:rPr>
          <w:rFonts w:ascii="Consolas" w:hAnsi="Consolas"/>
          <w:color w:val="A2570C"/>
        </w:rPr>
        <w:t>www.froid.com.br/iso-45003.html</w:t>
      </w:r>
      <w:r>
        <w:rPr>
          <w:rFonts w:ascii="Calibri" w:hAnsi="Calibri"/>
        </w:rPr>
        <w:t xml:space="preserve"> está no ar e correta.</w:t>
      </w:r>
    </w:p>
    <w:p>
      <w:pPr>
        <w:pStyle w:val="ListBullet"/>
        <w:spacing w:after="80"/>
      </w:pPr>
      <w:r>
        <w:rPr>
          <w:rFonts w:ascii="Calibri" w:hAnsi="Calibri"/>
        </w:rPr>
        <w:t>[ ] Ler em voz alta. Se algum parágrafo não contiver um fato que o destinatário provavelmente não sabe, corte-o.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016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