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A826" w14:textId="2EE35771" w:rsidR="00253F49" w:rsidRPr="00253F49" w:rsidRDefault="00253F49" w:rsidP="00253F49">
      <w:pPr>
        <w:pStyle w:val="berschrift1"/>
      </w:pPr>
      <w:r w:rsidRPr="004A5C62">
        <w:t>U</w:t>
      </w:r>
      <w:r>
        <w:t>Q – Abgabe</w:t>
      </w:r>
      <w:r>
        <w:t>3</w:t>
      </w:r>
      <w:r>
        <w:t xml:space="preserve"> Gruppe D (Bernhard, Ivanov, Schröppel)</w:t>
      </w:r>
    </w:p>
    <w:p w14:paraId="78211851" w14:textId="018BCF77" w:rsidR="002D715D" w:rsidRPr="00253F49" w:rsidRDefault="005E08D9" w:rsidP="00253F49">
      <w:pPr>
        <w:jc w:val="center"/>
        <w:rPr>
          <w:rFonts w:ascii="Calibri" w:eastAsia="Times New Roman" w:hAnsi="Calibri" w:cs="Calibri"/>
          <w:b/>
          <w:bCs/>
          <w:i/>
          <w:iCs/>
          <w:sz w:val="36"/>
          <w:szCs w:val="36"/>
          <w:lang w:eastAsia="de-DE"/>
        </w:rPr>
      </w:pPr>
      <w:r w:rsidRPr="00253F49">
        <w:rPr>
          <w:rFonts w:ascii="Calibri" w:eastAsia="Times New Roman" w:hAnsi="Calibri" w:cs="Calibri"/>
          <w:b/>
          <w:bCs/>
          <w:i/>
          <w:iCs/>
          <w:sz w:val="36"/>
          <w:szCs w:val="36"/>
          <w:lang w:eastAsia="de-DE"/>
        </w:rPr>
        <w:t>Problem</w:t>
      </w:r>
      <w:r w:rsidR="002D715D" w:rsidRPr="00253F49">
        <w:rPr>
          <w:rFonts w:ascii="Calibri" w:eastAsia="Times New Roman" w:hAnsi="Calibri" w:cs="Calibri"/>
          <w:b/>
          <w:bCs/>
          <w:i/>
          <w:iCs/>
          <w:sz w:val="36"/>
          <w:szCs w:val="36"/>
          <w:lang w:eastAsia="de-DE"/>
        </w:rPr>
        <w:t>.</w:t>
      </w:r>
    </w:p>
    <w:p w14:paraId="02C03B70" w14:textId="597536B7" w:rsidR="001B6275" w:rsidRPr="001B6275" w:rsidRDefault="001B6275" w:rsidP="001B6275">
      <w:pPr>
        <w:rPr>
          <w:rFonts w:ascii="Calibri" w:eastAsia="Times New Roman" w:hAnsi="Calibri" w:cs="Calibri"/>
          <w:lang w:eastAsia="de-DE"/>
        </w:rPr>
      </w:pPr>
      <w:r w:rsidRPr="001B6275">
        <w:rPr>
          <w:rFonts w:ascii="Calibri" w:eastAsia="Times New Roman" w:hAnsi="Calibri" w:cs="Calibri"/>
          <w:lang w:eastAsia="de-DE"/>
        </w:rPr>
        <w:t>W</w:t>
      </w:r>
      <w:r w:rsidRPr="00F2369A">
        <w:rPr>
          <w:rFonts w:ascii="Calibri" w:eastAsia="Times New Roman" w:hAnsi="Calibri" w:cs="Calibri"/>
          <w:lang w:eastAsia="de-DE"/>
        </w:rPr>
        <w:t>ä</w:t>
      </w:r>
      <w:r w:rsidRPr="001B6275">
        <w:rPr>
          <w:rFonts w:ascii="Calibri" w:eastAsia="Times New Roman" w:hAnsi="Calibri" w:cs="Calibri"/>
          <w:lang w:eastAsia="de-DE"/>
        </w:rPr>
        <w:t>hrend in der letzten Abgabe bereits bestimmt werden konnte, wie stark die Korrelation zwischen Ver</w:t>
      </w:r>
      <w:r w:rsidRPr="00F2369A">
        <w:rPr>
          <w:rFonts w:ascii="Calibri" w:eastAsia="Times New Roman" w:hAnsi="Calibri" w:cs="Calibri"/>
          <w:lang w:eastAsia="de-DE"/>
        </w:rPr>
        <w:t>ä</w:t>
      </w:r>
      <w:r w:rsidRPr="001B6275">
        <w:rPr>
          <w:rFonts w:ascii="Calibri" w:eastAsia="Times New Roman" w:hAnsi="Calibri" w:cs="Calibri"/>
          <w:lang w:eastAsia="de-DE"/>
        </w:rPr>
        <w:t xml:space="preserve">nderung eines Inputparameters und </w:t>
      </w:r>
      <w:r w:rsidR="00F2369A">
        <w:rPr>
          <w:rFonts w:ascii="Calibri" w:eastAsia="Times New Roman" w:hAnsi="Calibri" w:cs="Calibri"/>
          <w:lang w:eastAsia="de-DE"/>
        </w:rPr>
        <w:t>Ä</w:t>
      </w:r>
      <w:r w:rsidRPr="001B6275">
        <w:rPr>
          <w:rFonts w:ascii="Calibri" w:eastAsia="Times New Roman" w:hAnsi="Calibri" w:cs="Calibri"/>
          <w:lang w:eastAsia="de-DE"/>
        </w:rPr>
        <w:t xml:space="preserve">nderung </w:t>
      </w:r>
      <w:r w:rsidR="003A00F0">
        <w:rPr>
          <w:rFonts w:ascii="Calibri" w:eastAsia="Times New Roman" w:hAnsi="Calibri" w:cs="Calibri"/>
          <w:lang w:eastAsia="de-DE"/>
        </w:rPr>
        <w:t>der Werte einer Zielfunktion</w:t>
      </w:r>
      <w:r w:rsidRPr="001B6275">
        <w:rPr>
          <w:rFonts w:ascii="Calibri" w:eastAsia="Times New Roman" w:hAnsi="Calibri" w:cs="Calibri"/>
          <w:lang w:eastAsia="de-DE"/>
        </w:rPr>
        <w:t xml:space="preserve"> ist, besch</w:t>
      </w:r>
      <w:r w:rsidR="00F2369A">
        <w:rPr>
          <w:rFonts w:ascii="Calibri" w:eastAsia="Times New Roman" w:hAnsi="Calibri" w:cs="Calibri"/>
          <w:lang w:eastAsia="de-DE"/>
        </w:rPr>
        <w:t>ä</w:t>
      </w:r>
      <w:r w:rsidRPr="001B6275">
        <w:rPr>
          <w:rFonts w:ascii="Calibri" w:eastAsia="Times New Roman" w:hAnsi="Calibri" w:cs="Calibri"/>
          <w:lang w:eastAsia="de-DE"/>
        </w:rPr>
        <w:t xml:space="preserve">ftigt sich diese Abgabe damit, </w:t>
      </w:r>
      <w:r w:rsidR="0081147A">
        <w:rPr>
          <w:rFonts w:ascii="Calibri" w:eastAsia="Times New Roman" w:hAnsi="Calibri" w:cs="Calibri"/>
          <w:lang w:eastAsia="de-DE"/>
        </w:rPr>
        <w:t xml:space="preserve">zu </w:t>
      </w:r>
      <w:proofErr w:type="spellStart"/>
      <w:r w:rsidR="0081147A">
        <w:rPr>
          <w:rFonts w:ascii="Calibri" w:eastAsia="Times New Roman" w:hAnsi="Calibri" w:cs="Calibri"/>
          <w:lang w:eastAsia="de-DE"/>
        </w:rPr>
        <w:t>Quantifizieren</w:t>
      </w:r>
      <w:proofErr w:type="spellEnd"/>
      <w:r w:rsidR="0081147A">
        <w:rPr>
          <w:rFonts w:ascii="Calibri" w:eastAsia="Times New Roman" w:hAnsi="Calibri" w:cs="Calibri"/>
          <w:lang w:eastAsia="de-DE"/>
        </w:rPr>
        <w:t xml:space="preserve"> welchen Anteil der Gesamtvariant der </w:t>
      </w:r>
      <w:r w:rsidRPr="001B6275">
        <w:rPr>
          <w:rFonts w:ascii="Calibri" w:eastAsia="Times New Roman" w:hAnsi="Calibri" w:cs="Calibri"/>
          <w:lang w:eastAsia="de-DE"/>
        </w:rPr>
        <w:t xml:space="preserve">einer </w:t>
      </w:r>
      <w:r w:rsidR="003A00F0">
        <w:rPr>
          <w:rFonts w:ascii="Calibri" w:eastAsia="Times New Roman" w:hAnsi="Calibri" w:cs="Calibri"/>
          <w:lang w:eastAsia="de-DE"/>
        </w:rPr>
        <w:t>Kenngröße (</w:t>
      </w:r>
      <w:proofErr w:type="spellStart"/>
      <w:r w:rsidR="003A00F0">
        <w:rPr>
          <w:rFonts w:ascii="Calibri" w:eastAsia="Times New Roman" w:hAnsi="Calibri" w:cs="Calibri"/>
          <w:lang w:eastAsia="de-DE"/>
        </w:rPr>
        <w:t>Quantity</w:t>
      </w:r>
      <w:proofErr w:type="spellEnd"/>
      <w:r w:rsidR="003A00F0">
        <w:rPr>
          <w:rFonts w:ascii="Calibri" w:eastAsia="Times New Roman" w:hAnsi="Calibri" w:cs="Calibri"/>
          <w:lang w:eastAsia="de-DE"/>
        </w:rPr>
        <w:t xml:space="preserve"> </w:t>
      </w:r>
      <w:proofErr w:type="spellStart"/>
      <w:r w:rsidR="003A00F0">
        <w:rPr>
          <w:rFonts w:ascii="Calibri" w:eastAsia="Times New Roman" w:hAnsi="Calibri" w:cs="Calibri"/>
          <w:lang w:eastAsia="de-DE"/>
        </w:rPr>
        <w:t>of</w:t>
      </w:r>
      <w:proofErr w:type="spellEnd"/>
      <w:r w:rsidR="003A00F0">
        <w:rPr>
          <w:rFonts w:ascii="Calibri" w:eastAsia="Times New Roman" w:hAnsi="Calibri" w:cs="Calibri"/>
          <w:lang w:eastAsia="de-DE"/>
        </w:rPr>
        <w:t xml:space="preserve"> Interest kurz </w:t>
      </w:r>
      <w:proofErr w:type="spellStart"/>
      <w:r w:rsidR="003A00F0">
        <w:rPr>
          <w:rFonts w:ascii="Calibri" w:eastAsia="Times New Roman" w:hAnsi="Calibri" w:cs="Calibri"/>
          <w:lang w:eastAsia="de-DE"/>
        </w:rPr>
        <w:t>QoI</w:t>
      </w:r>
      <w:proofErr w:type="spellEnd"/>
      <w:r w:rsidR="003A00F0">
        <w:rPr>
          <w:rFonts w:ascii="Calibri" w:eastAsia="Times New Roman" w:hAnsi="Calibri" w:cs="Calibri"/>
          <w:lang w:eastAsia="de-DE"/>
        </w:rPr>
        <w:t>)</w:t>
      </w:r>
      <w:r w:rsidRPr="001B6275">
        <w:rPr>
          <w:rFonts w:ascii="Calibri" w:eastAsia="Times New Roman" w:hAnsi="Calibri" w:cs="Calibri"/>
          <w:lang w:eastAsia="de-DE"/>
        </w:rPr>
        <w:t xml:space="preserve"> von den einzelnen Inputparametern </w:t>
      </w:r>
      <w:r w:rsidR="0081147A">
        <w:rPr>
          <w:rFonts w:ascii="Calibri" w:eastAsia="Times New Roman" w:hAnsi="Calibri" w:cs="Calibri"/>
          <w:lang w:eastAsia="de-DE"/>
        </w:rPr>
        <w:t>bedingt wird</w:t>
      </w:r>
      <w:r w:rsidRPr="001B6275">
        <w:rPr>
          <w:rFonts w:ascii="Calibri" w:eastAsia="Times New Roman" w:hAnsi="Calibri" w:cs="Calibri"/>
          <w:lang w:eastAsia="de-DE"/>
        </w:rPr>
        <w:t>. Die gew</w:t>
      </w:r>
      <w:r w:rsidR="00F2369A">
        <w:rPr>
          <w:rFonts w:ascii="Calibri" w:eastAsia="Times New Roman" w:hAnsi="Calibri" w:cs="Calibri"/>
          <w:lang w:eastAsia="de-DE"/>
        </w:rPr>
        <w:t>ä</w:t>
      </w:r>
      <w:r w:rsidRPr="001B6275">
        <w:rPr>
          <w:rFonts w:ascii="Calibri" w:eastAsia="Times New Roman" w:hAnsi="Calibri" w:cs="Calibri"/>
          <w:lang w:eastAsia="de-DE"/>
        </w:rPr>
        <w:t xml:space="preserve">hlte Methode </w:t>
      </w:r>
      <w:r w:rsidR="0081147A">
        <w:rPr>
          <w:rFonts w:ascii="Calibri" w:eastAsia="Times New Roman" w:hAnsi="Calibri" w:cs="Calibri"/>
          <w:lang w:eastAsia="de-DE"/>
        </w:rPr>
        <w:t>hierfür</w:t>
      </w:r>
      <w:r w:rsidRPr="001B6275">
        <w:rPr>
          <w:rFonts w:ascii="Calibri" w:eastAsia="Times New Roman" w:hAnsi="Calibri" w:cs="Calibri"/>
          <w:lang w:eastAsia="de-DE"/>
        </w:rPr>
        <w:t xml:space="preserve"> sind die Sobol-total-</w:t>
      </w:r>
      <w:proofErr w:type="spellStart"/>
      <w:r w:rsidR="003A00F0">
        <w:rPr>
          <w:rFonts w:ascii="Calibri" w:eastAsia="Times New Roman" w:hAnsi="Calibri" w:cs="Calibri"/>
          <w:lang w:eastAsia="de-DE"/>
        </w:rPr>
        <w:t>e</w:t>
      </w:r>
      <w:r w:rsidR="00F2369A" w:rsidRPr="001B6275">
        <w:rPr>
          <w:rFonts w:ascii="Calibri" w:eastAsia="Times New Roman" w:hAnsi="Calibri" w:cs="Calibri"/>
          <w:lang w:eastAsia="de-DE"/>
        </w:rPr>
        <w:t>ffe</w:t>
      </w:r>
      <w:r w:rsidR="003A00F0">
        <w:rPr>
          <w:rFonts w:ascii="Calibri" w:eastAsia="Times New Roman" w:hAnsi="Calibri" w:cs="Calibri"/>
          <w:lang w:eastAsia="de-DE"/>
        </w:rPr>
        <w:t>c</w:t>
      </w:r>
      <w:r w:rsidR="00F2369A" w:rsidRPr="001B6275">
        <w:rPr>
          <w:rFonts w:ascii="Calibri" w:eastAsia="Times New Roman" w:hAnsi="Calibri" w:cs="Calibri"/>
          <w:lang w:eastAsia="de-DE"/>
        </w:rPr>
        <w:t>t</w:t>
      </w:r>
      <w:proofErr w:type="spellEnd"/>
      <w:r w:rsidRPr="001B6275">
        <w:rPr>
          <w:rFonts w:ascii="Calibri" w:eastAsia="Times New Roman" w:hAnsi="Calibri" w:cs="Calibri"/>
          <w:lang w:eastAsia="de-DE"/>
        </w:rPr>
        <w:t xml:space="preserve"> Indizes. Diese total-</w:t>
      </w:r>
      <w:proofErr w:type="spellStart"/>
      <w:r w:rsidR="003A00F0">
        <w:rPr>
          <w:rFonts w:ascii="Calibri" w:eastAsia="Times New Roman" w:hAnsi="Calibri" w:cs="Calibri"/>
          <w:lang w:eastAsia="de-DE"/>
        </w:rPr>
        <w:t>e</w:t>
      </w:r>
      <w:r w:rsidR="00F2369A" w:rsidRPr="001B6275">
        <w:rPr>
          <w:rFonts w:ascii="Calibri" w:eastAsia="Times New Roman" w:hAnsi="Calibri" w:cs="Calibri"/>
          <w:lang w:eastAsia="de-DE"/>
        </w:rPr>
        <w:t>ffe</w:t>
      </w:r>
      <w:r w:rsidR="003A00F0">
        <w:rPr>
          <w:rFonts w:ascii="Calibri" w:eastAsia="Times New Roman" w:hAnsi="Calibri" w:cs="Calibri"/>
          <w:lang w:eastAsia="de-DE"/>
        </w:rPr>
        <w:t>c</w:t>
      </w:r>
      <w:r w:rsidR="00F2369A" w:rsidRPr="001B6275">
        <w:rPr>
          <w:rFonts w:ascii="Calibri" w:eastAsia="Times New Roman" w:hAnsi="Calibri" w:cs="Calibri"/>
          <w:lang w:eastAsia="de-DE"/>
        </w:rPr>
        <w:t>t</w:t>
      </w:r>
      <w:proofErr w:type="spellEnd"/>
      <w:r w:rsidRPr="001B6275">
        <w:rPr>
          <w:rFonts w:ascii="Calibri" w:eastAsia="Times New Roman" w:hAnsi="Calibri" w:cs="Calibri"/>
          <w:lang w:eastAsia="de-DE"/>
        </w:rPr>
        <w:t xml:space="preserve"> Sobol Indizes setzen dabei </w:t>
      </w:r>
      <w:r w:rsidR="005C1004">
        <w:rPr>
          <w:rFonts w:ascii="Calibri" w:eastAsia="Times New Roman" w:hAnsi="Calibri" w:cs="Calibri"/>
          <w:lang w:eastAsia="de-DE"/>
        </w:rPr>
        <w:t xml:space="preserve">die zu erwartende </w:t>
      </w:r>
      <w:proofErr w:type="gramStart"/>
      <w:r w:rsidR="005C1004">
        <w:rPr>
          <w:rFonts w:ascii="Calibri" w:eastAsia="Times New Roman" w:hAnsi="Calibri" w:cs="Calibri"/>
          <w:lang w:eastAsia="de-DE"/>
        </w:rPr>
        <w:t>Varianz</w:t>
      </w:r>
      <w:proofErr w:type="gramEnd"/>
      <w:r w:rsidR="005C1004">
        <w:rPr>
          <w:rFonts w:ascii="Calibri" w:eastAsia="Times New Roman" w:hAnsi="Calibri" w:cs="Calibri"/>
          <w:lang w:eastAsia="de-DE"/>
        </w:rPr>
        <w:t xml:space="preserve"> die auftreten würde wenn nur der untersuchte Parameter variabel wäre ins Verhältnis zur Varianz der </w:t>
      </w:r>
      <w:proofErr w:type="spellStart"/>
      <w:r w:rsidR="005C1004">
        <w:rPr>
          <w:rFonts w:ascii="Calibri" w:eastAsia="Times New Roman" w:hAnsi="Calibri" w:cs="Calibri"/>
          <w:lang w:eastAsia="de-DE"/>
        </w:rPr>
        <w:t>QoI</w:t>
      </w:r>
      <w:proofErr w:type="spellEnd"/>
      <w:r w:rsidR="005C1004">
        <w:rPr>
          <w:rFonts w:ascii="Calibri" w:eastAsia="Times New Roman" w:hAnsi="Calibri" w:cs="Calibri"/>
          <w:lang w:eastAsia="de-DE"/>
        </w:rPr>
        <w:t>.</w:t>
      </w:r>
      <w:r w:rsidRPr="001B6275">
        <w:rPr>
          <w:rFonts w:ascii="Calibri" w:eastAsia="Times New Roman" w:hAnsi="Calibri" w:cs="Calibri"/>
          <w:lang w:eastAsia="de-DE"/>
        </w:rPr>
        <w:t xml:space="preserve"> Ein </w:t>
      </w:r>
      <w:r w:rsidR="00F2369A" w:rsidRPr="001B6275">
        <w:rPr>
          <w:rFonts w:ascii="Calibri" w:eastAsia="Times New Roman" w:hAnsi="Calibri" w:cs="Calibri"/>
          <w:lang w:eastAsia="de-DE"/>
        </w:rPr>
        <w:t>Nachteil,</w:t>
      </w:r>
      <w:r w:rsidRPr="001B6275">
        <w:rPr>
          <w:rFonts w:ascii="Calibri" w:eastAsia="Times New Roman" w:hAnsi="Calibri" w:cs="Calibri"/>
          <w:lang w:eastAsia="de-DE"/>
        </w:rPr>
        <w:t xml:space="preserve"> der durch diese Methode entsteht, ist der Verlust der Information in welche Richtung der Parameter das Ergebnis beeinflusst. W</w:t>
      </w:r>
      <w:r w:rsidR="00F2369A">
        <w:rPr>
          <w:rFonts w:ascii="Calibri" w:eastAsia="Times New Roman" w:hAnsi="Calibri" w:cs="Calibri"/>
          <w:lang w:eastAsia="de-DE"/>
        </w:rPr>
        <w:t>ä</w:t>
      </w:r>
      <w:r w:rsidRPr="001B6275">
        <w:rPr>
          <w:rFonts w:ascii="Calibri" w:eastAsia="Times New Roman" w:hAnsi="Calibri" w:cs="Calibri"/>
          <w:lang w:eastAsia="de-DE"/>
        </w:rPr>
        <w:t>hrend ein positiver beziehungsweise negativer Partialrangkorrelationskoeffizient bedeutet, dass ein gr</w:t>
      </w:r>
      <w:r w:rsidR="00F2369A">
        <w:rPr>
          <w:rFonts w:ascii="Calibri" w:eastAsia="Times New Roman" w:hAnsi="Calibri" w:cs="Calibri"/>
          <w:lang w:eastAsia="de-DE"/>
        </w:rPr>
        <w:t>öß</w:t>
      </w:r>
      <w:r w:rsidRPr="001B6275">
        <w:rPr>
          <w:rFonts w:ascii="Calibri" w:eastAsia="Times New Roman" w:hAnsi="Calibri" w:cs="Calibri"/>
          <w:lang w:eastAsia="de-DE"/>
        </w:rPr>
        <w:t>erer Wert f</w:t>
      </w:r>
      <w:r w:rsidR="00F2369A">
        <w:rPr>
          <w:rFonts w:ascii="Calibri" w:eastAsia="Times New Roman" w:hAnsi="Calibri" w:cs="Calibri"/>
          <w:lang w:eastAsia="de-DE"/>
        </w:rPr>
        <w:t>ü</w:t>
      </w:r>
      <w:r w:rsidRPr="001B6275">
        <w:rPr>
          <w:rFonts w:ascii="Calibri" w:eastAsia="Times New Roman" w:hAnsi="Calibri" w:cs="Calibri"/>
          <w:lang w:eastAsia="de-DE"/>
        </w:rPr>
        <w:t>r den Parameter ein gr</w:t>
      </w:r>
      <w:r w:rsidR="00F2369A">
        <w:rPr>
          <w:rFonts w:ascii="Calibri" w:eastAsia="Times New Roman" w:hAnsi="Calibri" w:cs="Calibri"/>
          <w:lang w:eastAsia="de-DE"/>
        </w:rPr>
        <w:t>öß</w:t>
      </w:r>
      <w:r w:rsidRPr="001B6275">
        <w:rPr>
          <w:rFonts w:ascii="Calibri" w:eastAsia="Times New Roman" w:hAnsi="Calibri" w:cs="Calibri"/>
          <w:lang w:eastAsia="de-DE"/>
        </w:rPr>
        <w:t xml:space="preserve">eres beziehungsweise kleineres Ergebnis bedeutet, fehlt diese Information bei den Sobol Indizes. Dies liegt an den Eigenschaften der Varianz welche nur positive Werte annehmen kann. </w:t>
      </w:r>
    </w:p>
    <w:p w14:paraId="7C7563F8" w14:textId="77777777" w:rsidR="001B6275" w:rsidRDefault="001B6275" w:rsidP="00EF7424"/>
    <w:p w14:paraId="2F02C498" w14:textId="7912DA44" w:rsidR="001B6275" w:rsidRPr="002D715D" w:rsidRDefault="002D715D" w:rsidP="00253F49">
      <w:pPr>
        <w:jc w:val="center"/>
        <w:rPr>
          <w:b/>
          <w:bCs/>
          <w:i/>
          <w:iCs/>
        </w:rPr>
      </w:pPr>
      <w:r w:rsidRPr="00253F49">
        <w:rPr>
          <w:b/>
          <w:bCs/>
          <w:i/>
          <w:iCs/>
          <w:sz w:val="36"/>
          <w:szCs w:val="36"/>
        </w:rPr>
        <w:t>Sobol-Methode</w:t>
      </w:r>
      <w:r w:rsidRPr="002D715D">
        <w:rPr>
          <w:b/>
          <w:bCs/>
          <w:i/>
          <w:iCs/>
        </w:rPr>
        <w:t>.</w:t>
      </w:r>
    </w:p>
    <w:p w14:paraId="25C29618" w14:textId="7332CADE" w:rsidR="00DA5B61" w:rsidRDefault="00EF7424" w:rsidP="00EF7424">
      <w:r>
        <w:t xml:space="preserve">Die Sobol-Methode basiert auf der Zerlegung der Varianz der </w:t>
      </w:r>
      <w:proofErr w:type="spellStart"/>
      <w:r w:rsidR="005C1004">
        <w:t>QoI</w:t>
      </w:r>
      <w:proofErr w:type="spellEnd"/>
      <w:r>
        <w:t xml:space="preserve"> in Summanden von Varianzen der Eingabeparameter in zunehmender Dimensionalität</w:t>
      </w:r>
      <w:r w:rsidR="00B80BDC">
        <w:t xml:space="preserve"> und </w:t>
      </w:r>
      <w:r>
        <w:t>bestimmt</w:t>
      </w:r>
      <w:r w:rsidR="00B80BDC">
        <w:t xml:space="preserve"> somit</w:t>
      </w:r>
      <w:r>
        <w:t xml:space="preserve"> den Beitrag der einzelnen Eingabeparameter und ihrer Wechselwirkungen zur Gesamtvarianz der </w:t>
      </w:r>
      <w:proofErr w:type="spellStart"/>
      <w:r w:rsidR="005C1004">
        <w:t>QoI</w:t>
      </w:r>
      <w:proofErr w:type="spellEnd"/>
      <w:r>
        <w:t>.</w:t>
      </w:r>
      <w:r w:rsidR="00EF5F7B">
        <w:t xml:space="preserve"> </w:t>
      </w:r>
      <w:r w:rsidR="00B80BDC">
        <w:t>Dabei ist das Ziel der</w:t>
      </w:r>
      <w:r>
        <w:t xml:space="preserve"> Sobol-</w:t>
      </w:r>
      <w:r w:rsidR="005C1004">
        <w:t>Sensitivitäts</w:t>
      </w:r>
      <w:r>
        <w:t>analyse</w:t>
      </w:r>
      <w:r w:rsidR="005C1004">
        <w:t xml:space="preserve"> zu bestimmen</w:t>
      </w:r>
      <w:r>
        <w:t>, w</w:t>
      </w:r>
      <w:r w:rsidR="005C1004">
        <w:t>elcher Anteil</w:t>
      </w:r>
      <w:r>
        <w:t xml:space="preserve"> der Var</w:t>
      </w:r>
      <w:r w:rsidR="005C1004">
        <w:t>ianz</w:t>
      </w:r>
      <w:r>
        <w:t xml:space="preserve"> in der</w:t>
      </w:r>
      <w:r w:rsidR="005C1004">
        <w:t xml:space="preserve"> </w:t>
      </w:r>
      <w:proofErr w:type="spellStart"/>
      <w:r w:rsidR="005C1004">
        <w:t>QoI</w:t>
      </w:r>
      <w:proofErr w:type="spellEnd"/>
      <w:r>
        <w:t xml:space="preserve"> von den einzelnen Eingabeparametern abhängt</w:t>
      </w:r>
      <w:r w:rsidR="005C1004">
        <w:t>. Dabei wird sowohl der direkte Einfluss des einzelnen Parameters als auch die</w:t>
      </w:r>
      <w:r>
        <w:t xml:space="preserve"> Wechselwirkung </w:t>
      </w:r>
      <w:r w:rsidR="005C1004">
        <w:t>mit anderen</w:t>
      </w:r>
      <w:r>
        <w:t xml:space="preserve"> Parametern</w:t>
      </w:r>
      <w:r w:rsidR="005C1004">
        <w:t xml:space="preserve"> untersucht</w:t>
      </w:r>
      <w:r>
        <w:t xml:space="preserve">. Bei der Zerlegung der Ausgabevarianz in einer Sobol-Empfindlichkeitsanalyse wird dasselbe Prinzip wie </w:t>
      </w:r>
      <w:proofErr w:type="gramStart"/>
      <w:r>
        <w:t>bei</w:t>
      </w:r>
      <w:r w:rsidR="0081147A">
        <w:t xml:space="preserve"> </w:t>
      </w:r>
      <w:r>
        <w:t xml:space="preserve"> der</w:t>
      </w:r>
      <w:proofErr w:type="gramEnd"/>
      <w:r>
        <w:t xml:space="preserve"> klassischen Varianzanalyse verwendet. </w:t>
      </w:r>
      <w:r w:rsidR="008D4167">
        <w:t>Es lässt sich</w:t>
      </w:r>
      <w:r w:rsidRPr="00EF7424">
        <w:t xml:space="preserve"> sagen, dass</w:t>
      </w:r>
      <w:r w:rsidR="005C1004">
        <w:t xml:space="preserve"> </w:t>
      </w:r>
      <w:proofErr w:type="spellStart"/>
      <w:r w:rsidR="005C1004">
        <w:t>Sobol</w:t>
      </w:r>
      <w:r w:rsidRPr="00EF7424">
        <w:t>indizes</w:t>
      </w:r>
      <w:proofErr w:type="spellEnd"/>
      <w:r w:rsidRPr="00EF7424">
        <w:t xml:space="preserve"> </w:t>
      </w:r>
      <w:r w:rsidR="008D4167">
        <w:t>erster Ordnung</w:t>
      </w:r>
      <w:r w:rsidRPr="00EF7424">
        <w:t xml:space="preserve"> als Haupteffekt </w:t>
      </w:r>
      <w:r w:rsidR="0081147A">
        <w:t>interpretiert</w:t>
      </w:r>
      <w:r w:rsidRPr="00EF7424">
        <w:t xml:space="preserve"> werden, um den </w:t>
      </w:r>
      <w:r w:rsidR="0081147A">
        <w:t>Teil</w:t>
      </w:r>
      <w:r w:rsidR="00EF5F7B">
        <w:t xml:space="preserve"> des</w:t>
      </w:r>
      <w:r w:rsidR="00EF5F7B" w:rsidRPr="00EF7424">
        <w:t xml:space="preserve"> </w:t>
      </w:r>
      <w:r w:rsidR="0081147A">
        <w:t xml:space="preserve">additiven </w:t>
      </w:r>
      <w:r w:rsidR="00EF5F7B" w:rsidRPr="00EF7424">
        <w:t>Beitrags</w:t>
      </w:r>
      <w:r w:rsidRPr="00EF7424">
        <w:t xml:space="preserve"> eines einzelnen Parameters zur Ausgangsvarianz zu messen. </w:t>
      </w:r>
      <w:proofErr w:type="spellStart"/>
      <w:r w:rsidR="005C1004">
        <w:t>Sobol</w:t>
      </w:r>
      <w:r w:rsidRPr="00EF7424">
        <w:t>indizes</w:t>
      </w:r>
      <w:proofErr w:type="spellEnd"/>
      <w:r w:rsidRPr="00EF7424">
        <w:t xml:space="preserve"> </w:t>
      </w:r>
      <w:r w:rsidR="008D4167">
        <w:t xml:space="preserve">zweiter </w:t>
      </w:r>
      <w:r>
        <w:t>Ord</w:t>
      </w:r>
      <w:r w:rsidR="008D4167">
        <w:t>nung</w:t>
      </w:r>
      <w:r w:rsidRPr="00EF7424">
        <w:t xml:space="preserve"> werden verwendet, um den </w:t>
      </w:r>
      <w:r w:rsidR="0081147A">
        <w:t>Teil</w:t>
      </w:r>
      <w:r w:rsidRPr="00EF7424">
        <w:t xml:space="preserve"> des Beitrags von Parameterinteraktionen zur Ausgangsvarianz zu messen. Die</w:t>
      </w:r>
      <w:r w:rsidR="008D4167">
        <w:t xml:space="preserve"> Empfindlichkeitsindizes </w:t>
      </w:r>
      <w:r w:rsidR="008D4167" w:rsidRPr="00EF7424">
        <w:t>totale</w:t>
      </w:r>
      <w:r w:rsidR="008D4167">
        <w:t>r Ordnung</w:t>
      </w:r>
      <w:r>
        <w:t xml:space="preserve"> </w:t>
      </w:r>
      <w:r w:rsidRPr="00EF7424">
        <w:t>berücksichtigen sowohl die Haupteffekte, die Effekte zweiter Ordnung als auch die Effekte höherer Ordnung, was die Auswertung über den gesamten Bereich des Parameterraums beinhaltet.</w:t>
      </w:r>
      <w:r w:rsidR="00DA5B61">
        <w:t xml:space="preserve"> Betrachten wir nun einmal die Formel:</w:t>
      </w:r>
    </w:p>
    <w:p w14:paraId="3EC9C3A0" w14:textId="50849238" w:rsidR="00DA5B61" w:rsidRDefault="00DA5B61" w:rsidP="00DA5B61">
      <w:pPr>
        <w:jc w:val="center"/>
      </w:pPr>
      <w:r>
        <w:rPr>
          <w:noProof/>
        </w:rPr>
        <w:drawing>
          <wp:inline distT="0" distB="0" distL="0" distR="0" wp14:anchorId="4C27A877" wp14:editId="5CC6C51B">
            <wp:extent cx="4445000" cy="16764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445000" cy="1676400"/>
                    </a:xfrm>
                    <a:prstGeom prst="rect">
                      <a:avLst/>
                    </a:prstGeom>
                  </pic:spPr>
                </pic:pic>
              </a:graphicData>
            </a:graphic>
          </wp:inline>
        </w:drawing>
      </w:r>
    </w:p>
    <w:p w14:paraId="1AD335B1" w14:textId="456EB5B9" w:rsidR="00DA5B61" w:rsidRDefault="00DA5B61" w:rsidP="00EF7424">
      <w:r>
        <w:lastRenderedPageBreak/>
        <w:t xml:space="preserve">So erkennen wir, dass der Ausdruck des Zählers nichts anderes darstellt als die Empfindlichkeitsindizes erster Ordnung aller Parameter ohne </w:t>
      </w:r>
      <w:r w:rsidR="00384FAB" w:rsidRPr="00384FAB">
        <w:rPr>
          <w:b/>
          <w:bCs/>
        </w:rPr>
        <w:t>X</w:t>
      </w:r>
      <w:r w:rsidR="00384FAB" w:rsidRPr="00384FAB">
        <w:rPr>
          <w:b/>
          <w:bCs/>
          <w:vertAlign w:val="subscript"/>
        </w:rPr>
        <w:t>i</w:t>
      </w:r>
      <w:r>
        <w:t>. Anders ausgedrückt, die erwartete Varianz</w:t>
      </w:r>
      <w:r w:rsidR="00FE3FEC">
        <w:t xml:space="preserve"> die übrig bleiben würde, wenn wir alle Variablen außer </w:t>
      </w:r>
      <w:r w:rsidR="00384FAB" w:rsidRPr="00384FAB">
        <w:rPr>
          <w:b/>
          <w:bCs/>
        </w:rPr>
        <w:t>X</w:t>
      </w:r>
      <w:r w:rsidR="00384FAB" w:rsidRPr="00384FAB">
        <w:rPr>
          <w:b/>
          <w:bCs/>
          <w:vertAlign w:val="subscript"/>
        </w:rPr>
        <w:t>i</w:t>
      </w:r>
      <w:r w:rsidR="00FE3FEC">
        <w:t xml:space="preserve"> wüssten.</w:t>
      </w:r>
    </w:p>
    <w:p w14:paraId="14A54824" w14:textId="7653608D" w:rsidR="00DA5B61" w:rsidRDefault="00FE3FEC" w:rsidP="00EF7424">
      <w:r>
        <w:t xml:space="preserve">Dies Wissend ergibt sich somit für den ganzen Ausdruck die Bedeutung, dass dieser den Anteil </w:t>
      </w:r>
      <w:r w:rsidR="005C1004">
        <w:t>in dem</w:t>
      </w:r>
      <w:r>
        <w:t xml:space="preserve"> </w:t>
      </w:r>
      <w:r w:rsidRPr="00384FAB">
        <w:rPr>
          <w:b/>
          <w:bCs/>
        </w:rPr>
        <w:t>X</w:t>
      </w:r>
      <w:r w:rsidRPr="00384FAB">
        <w:rPr>
          <w:b/>
          <w:bCs/>
          <w:vertAlign w:val="subscript"/>
        </w:rPr>
        <w:t>i</w:t>
      </w:r>
      <w:r>
        <w:t xml:space="preserve"> eine Rolle </w:t>
      </w:r>
      <w:proofErr w:type="gramStart"/>
      <w:r>
        <w:t>spielt</w:t>
      </w:r>
      <w:proofErr w:type="gramEnd"/>
      <w:r>
        <w:t xml:space="preserve"> festhält</w:t>
      </w:r>
      <w:r w:rsidR="008B668D">
        <w:t xml:space="preserve"> und damit s</w:t>
      </w:r>
      <w:r>
        <w:t>ozusagen</w:t>
      </w:r>
      <w:r w:rsidR="00DA5B61">
        <w:t xml:space="preserve"> alle Kombinationen und Korrelationen von Variablen mit in die Wertung aufnimmt.</w:t>
      </w:r>
    </w:p>
    <w:p w14:paraId="0CED5779" w14:textId="08416F8A" w:rsidR="00596736" w:rsidRDefault="00596736" w:rsidP="00EF7424"/>
    <w:p w14:paraId="5160A58C" w14:textId="1C3DF5E9" w:rsidR="00596736" w:rsidRDefault="00596736" w:rsidP="00EF7424">
      <w:r>
        <w:t xml:space="preserve">Um noch ein wenig konkreter zu werden, was die Implementierung des Verfahrens angeht, widmen wir uns </w:t>
      </w:r>
      <w:r w:rsidR="00E019FE">
        <w:t xml:space="preserve">zunächst </w:t>
      </w:r>
      <w:r w:rsidR="005E08D9">
        <w:t>noch einmal</w:t>
      </w:r>
      <w:r w:rsidR="0081147A">
        <w:t xml:space="preserve"> </w:t>
      </w:r>
      <w:r w:rsidR="00E019FE">
        <w:t>der Formel für die Bestimmung der Indizes Totalen Effekts, welche wir oben schon einmal umgeschrieben wiederfinden konnten.</w:t>
      </w:r>
    </w:p>
    <w:p w14:paraId="0D7DFCA0" w14:textId="72B8A611" w:rsidR="00E019FE" w:rsidRDefault="00E019FE" w:rsidP="00E019FE">
      <w:pPr>
        <w:jc w:val="center"/>
      </w:pPr>
      <w:r>
        <w:rPr>
          <w:noProof/>
        </w:rPr>
        <w:drawing>
          <wp:inline distT="0" distB="0" distL="0" distR="0" wp14:anchorId="7A4D9C39" wp14:editId="57ABBE84">
            <wp:extent cx="3225800" cy="83820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225800" cy="838200"/>
                    </a:xfrm>
                    <a:prstGeom prst="rect">
                      <a:avLst/>
                    </a:prstGeom>
                  </pic:spPr>
                </pic:pic>
              </a:graphicData>
            </a:graphic>
          </wp:inline>
        </w:drawing>
      </w:r>
    </w:p>
    <w:p w14:paraId="30C7CB65" w14:textId="6C48EE97" w:rsidR="00E019FE" w:rsidRDefault="00E019FE" w:rsidP="00E019FE">
      <w:r>
        <w:t>Dabei betrachten wir uns den Zähler hinsichtlich der Implementierung genauer.</w:t>
      </w:r>
    </w:p>
    <w:p w14:paraId="04A74151" w14:textId="77777777" w:rsidR="0081147A" w:rsidRDefault="00596736" w:rsidP="0081147A">
      <w:pPr>
        <w:jc w:val="center"/>
      </w:pPr>
      <w:r>
        <w:rPr>
          <w:noProof/>
        </w:rPr>
        <w:drawing>
          <wp:inline distT="0" distB="0" distL="0" distR="0" wp14:anchorId="3B446836" wp14:editId="3557B388">
            <wp:extent cx="2349500" cy="6477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inline>
        </w:drawing>
      </w:r>
    </w:p>
    <w:p w14:paraId="1215A643" w14:textId="67914100" w:rsidR="00596736" w:rsidRDefault="0081147A" w:rsidP="0081147A">
      <w:r>
        <w:t>Zur Berechnung benötigen wir</w:t>
      </w:r>
      <w:r w:rsidR="008B668D">
        <w:t xml:space="preserve"> </w:t>
      </w:r>
      <w:r w:rsidR="00596736">
        <w:t>einen treuen Schätzer</w:t>
      </w:r>
      <w:r w:rsidR="00E019FE">
        <w:t xml:space="preserve"> hinsichtlich der</w:t>
      </w:r>
      <w:r w:rsidR="00596736">
        <w:t xml:space="preserve"> Varianz und de</w:t>
      </w:r>
      <w:r w:rsidR="00E019FE">
        <w:t>s</w:t>
      </w:r>
      <w:r w:rsidR="00596736">
        <w:t xml:space="preserve"> Erwartungswert</w:t>
      </w:r>
      <w:r w:rsidR="00E019FE">
        <w:t>es</w:t>
      </w:r>
      <w:r w:rsidR="00596736">
        <w:t xml:space="preserve">. Wie wir bereits Wissen haben wir bereits vor einigen Wochen in </w:t>
      </w:r>
      <w:r w:rsidR="008B668D">
        <w:t xml:space="preserve">der </w:t>
      </w:r>
      <w:r w:rsidR="00596736">
        <w:t xml:space="preserve">Vorlesung einen treuen Schätzer für die Varianz </w:t>
      </w:r>
      <w:r w:rsidR="005E08D9">
        <w:t>von Y falls alle Parameter außer X</w:t>
      </w:r>
      <w:r w:rsidR="005E08D9">
        <w:rPr>
          <w:vertAlign w:val="subscript"/>
        </w:rPr>
        <w:t>i</w:t>
      </w:r>
      <w:r w:rsidR="005E08D9">
        <w:t xml:space="preserve"> bekannt sind </w:t>
      </w:r>
      <w:r w:rsidR="00596736">
        <w:t>hergeleitet, und zwar:</w:t>
      </w:r>
    </w:p>
    <w:p w14:paraId="55B40F5F" w14:textId="10E4441B" w:rsidR="00596736" w:rsidRDefault="00596736" w:rsidP="00596736">
      <w:pPr>
        <w:jc w:val="center"/>
      </w:pPr>
      <w:r>
        <w:rPr>
          <w:noProof/>
        </w:rPr>
        <w:drawing>
          <wp:inline distT="0" distB="0" distL="0" distR="0" wp14:anchorId="20156BCB" wp14:editId="42088B44">
            <wp:extent cx="2006600" cy="76200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006600" cy="762000"/>
                    </a:xfrm>
                    <a:prstGeom prst="rect">
                      <a:avLst/>
                    </a:prstGeom>
                  </pic:spPr>
                </pic:pic>
              </a:graphicData>
            </a:graphic>
          </wp:inline>
        </w:drawing>
      </w:r>
    </w:p>
    <w:p w14:paraId="69AE675F" w14:textId="6DB615A1" w:rsidR="005E08D9" w:rsidRPr="005E08D9" w:rsidRDefault="005E08D9" w:rsidP="00596736">
      <w:r>
        <w:t>Z</w:t>
      </w:r>
      <w:r>
        <w:rPr>
          <w:vertAlign w:val="subscript"/>
        </w:rPr>
        <w:t xml:space="preserve">1 </w:t>
      </w:r>
      <w:r>
        <w:t>und Z</w:t>
      </w:r>
      <w:r>
        <w:rPr>
          <w:vertAlign w:val="subscript"/>
        </w:rPr>
        <w:t>2</w:t>
      </w:r>
      <w:r>
        <w:t xml:space="preserve"> entsprechen dabei zwei Funktionsauswertungen mit verschiedenen Werten für den Parameter X</w:t>
      </w:r>
      <w:r>
        <w:rPr>
          <w:vertAlign w:val="subscript"/>
        </w:rPr>
        <w:t>i</w:t>
      </w:r>
      <w:r>
        <w:t xml:space="preserve"> und identischen Parametern </w:t>
      </w:r>
      <w:proofErr w:type="spellStart"/>
      <w:r>
        <w:t>X</w:t>
      </w:r>
      <w:r>
        <w:rPr>
          <w:vertAlign w:val="subscript"/>
        </w:rPr>
        <w:t>~i</w:t>
      </w:r>
      <w:proofErr w:type="spellEnd"/>
    </w:p>
    <w:p w14:paraId="2F3E6C3B" w14:textId="14110164" w:rsidR="00596736" w:rsidRDefault="00596736" w:rsidP="00596736">
      <w:r>
        <w:t>Nun fehlt uns</w:t>
      </w:r>
      <w:r w:rsidR="00E019FE">
        <w:t xml:space="preserve"> nur</w:t>
      </w:r>
      <w:r>
        <w:t xml:space="preserve"> noch ein Schätzer für den Erwartungswert,</w:t>
      </w:r>
      <w:r w:rsidR="005E08D9">
        <w:t xml:space="preserve"> dieser Varianz</w:t>
      </w:r>
      <w:r>
        <w:t xml:space="preserve"> den wir wie folgt definieren:</w:t>
      </w:r>
    </w:p>
    <w:p w14:paraId="4586B930" w14:textId="77777777" w:rsidR="008B668D" w:rsidRDefault="00596736" w:rsidP="00596736">
      <w:r>
        <w:rPr>
          <w:noProof/>
        </w:rPr>
        <w:drawing>
          <wp:inline distT="0" distB="0" distL="0" distR="0" wp14:anchorId="46025FC7" wp14:editId="47E735CA">
            <wp:extent cx="5760720" cy="1449070"/>
            <wp:effectExtent l="0" t="0" r="508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449070"/>
                    </a:xfrm>
                    <a:prstGeom prst="rect">
                      <a:avLst/>
                    </a:prstGeom>
                  </pic:spPr>
                </pic:pic>
              </a:graphicData>
            </a:graphic>
          </wp:inline>
        </w:drawing>
      </w:r>
    </w:p>
    <w:p w14:paraId="21388D4D" w14:textId="139FDB69" w:rsidR="00596736" w:rsidRDefault="008B668D" w:rsidP="00596736">
      <w:r>
        <w:t xml:space="preserve">Es handelt sich dabei um die </w:t>
      </w:r>
      <w:r w:rsidR="00596736">
        <w:t>Monte-Carlo Summe der einzelnen Varianzen. Damit ergibt sich der folgende Schätzer, welcher auch Jansen – Schätzer genannt wird.</w:t>
      </w:r>
    </w:p>
    <w:p w14:paraId="13CDBDCA" w14:textId="6B6F200F" w:rsidR="00DA5B61" w:rsidRDefault="00596736" w:rsidP="005E08D9">
      <w:pPr>
        <w:jc w:val="center"/>
      </w:pPr>
      <w:r>
        <w:rPr>
          <w:noProof/>
        </w:rPr>
        <w:drawing>
          <wp:inline distT="0" distB="0" distL="0" distR="0" wp14:anchorId="34908099" wp14:editId="3BCB7E33">
            <wp:extent cx="3327400" cy="106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3327400" cy="1066800"/>
                    </a:xfrm>
                    <a:prstGeom prst="rect">
                      <a:avLst/>
                    </a:prstGeom>
                  </pic:spPr>
                </pic:pic>
              </a:graphicData>
            </a:graphic>
          </wp:inline>
        </w:drawing>
      </w:r>
    </w:p>
    <w:p w14:paraId="4D397747" w14:textId="62A4CCC5" w:rsidR="00DA5B61" w:rsidRDefault="00FD586E" w:rsidP="00EF7424">
      <w:r>
        <w:t>Dabei sind A und A</w:t>
      </w:r>
      <w:r w:rsidRPr="00FD586E">
        <w:rPr>
          <w:vertAlign w:val="subscript"/>
        </w:rPr>
        <w:t>B</w:t>
      </w:r>
      <w:r>
        <w:rPr>
          <w:vertAlign w:val="subscript"/>
        </w:rPr>
        <w:t xml:space="preserve"> </w:t>
      </w:r>
      <w:r>
        <w:t>Matrizen, die nach dem folgenden Schema implementiert werden:</w:t>
      </w:r>
    </w:p>
    <w:p w14:paraId="661A04D0" w14:textId="2BBE1145" w:rsidR="00FD586E" w:rsidRPr="00FD586E" w:rsidRDefault="00FD586E" w:rsidP="00EF7424">
      <w:r>
        <w:lastRenderedPageBreak/>
        <w:t>Man sampelt zwei Matrizen A, B welche Uniform im Intervall [0,1]</w:t>
      </w:r>
      <w:r w:rsidR="000C5475">
        <w:t xml:space="preserve"> verteilt</w:t>
      </w:r>
      <w:r>
        <w:t xml:space="preserve"> sind und erzeugt daraus eine Matrix </w:t>
      </w:r>
      <w:proofErr w:type="gramStart"/>
      <w:r>
        <w:t>A</w:t>
      </w:r>
      <w:r w:rsidRPr="00FD586E">
        <w:rPr>
          <w:vertAlign w:val="subscript"/>
        </w:rPr>
        <w:t>B</w:t>
      </w:r>
      <w:proofErr w:type="gramEnd"/>
      <w:r>
        <w:rPr>
          <w:vertAlign w:val="subscript"/>
        </w:rPr>
        <w:t xml:space="preserve"> </w:t>
      </w:r>
      <w:r>
        <w:t>welche am Index 1 die erste Spalte aus B hat und den Rest aus A. Für Index 2 die zweite Spalte aus B hat und den Rest aus A. Das geschieht, wie Sie an diesem Beispiel sehen für alle Indexwerte.</w:t>
      </w:r>
    </w:p>
    <w:p w14:paraId="76EF602C" w14:textId="15A8BA5B" w:rsidR="00FD586E" w:rsidRPr="00FD586E" w:rsidRDefault="00FD586E" w:rsidP="00EF7424">
      <w:r>
        <w:rPr>
          <w:noProof/>
        </w:rPr>
        <w:drawing>
          <wp:inline distT="0" distB="0" distL="0" distR="0" wp14:anchorId="0501FF8B" wp14:editId="1BF48BD4">
            <wp:extent cx="5760720" cy="3145790"/>
            <wp:effectExtent l="0" t="0" r="508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a:extLst>
                        <a:ext uri="{28A0092B-C50C-407E-A947-70E740481C1C}">
                          <a14:useLocalDpi xmlns:a14="http://schemas.microsoft.com/office/drawing/2010/main" val="0"/>
                        </a:ext>
                      </a:extLst>
                    </a:blip>
                    <a:stretch>
                      <a:fillRect/>
                    </a:stretch>
                  </pic:blipFill>
                  <pic:spPr>
                    <a:xfrm>
                      <a:off x="0" y="0"/>
                      <a:ext cx="5760720" cy="3145790"/>
                    </a:xfrm>
                    <a:prstGeom prst="rect">
                      <a:avLst/>
                    </a:prstGeom>
                  </pic:spPr>
                </pic:pic>
              </a:graphicData>
            </a:graphic>
          </wp:inline>
        </w:drawing>
      </w:r>
    </w:p>
    <w:p w14:paraId="28394940" w14:textId="38BBF74A" w:rsidR="005400E3" w:rsidRDefault="005400E3" w:rsidP="00EF7424"/>
    <w:p w14:paraId="1E0A9FF6" w14:textId="384423A0" w:rsidR="005400E3" w:rsidRPr="00FD586E" w:rsidRDefault="00FD586E" w:rsidP="00EF7424">
      <w:r>
        <w:t>Dabei wird recht deutlich was wir bei dem Schätzer für den Erwartungswert schon gesehen haben. Wir haben eine Summe aus bedingten Varianzen, wo wir alle Werte außer X</w:t>
      </w:r>
      <w:r w:rsidRPr="00FD586E">
        <w:rPr>
          <w:vertAlign w:val="subscript"/>
        </w:rPr>
        <w:t>i</w:t>
      </w:r>
      <w:r>
        <w:rPr>
          <w:vertAlign w:val="subscript"/>
        </w:rPr>
        <w:t xml:space="preserve"> </w:t>
      </w:r>
      <w:r>
        <w:t>kennen, was man hier an den A</w:t>
      </w:r>
      <w:r w:rsidRPr="00FD586E">
        <w:rPr>
          <w:vertAlign w:val="subscript"/>
        </w:rPr>
        <w:t>B</w:t>
      </w:r>
      <w:r>
        <w:t xml:space="preserve"> Zeilenweise deutlich ablesen kann.</w:t>
      </w:r>
    </w:p>
    <w:p w14:paraId="67D5054B" w14:textId="7238EE60" w:rsidR="005400E3" w:rsidRDefault="005400E3" w:rsidP="00EF7424"/>
    <w:p w14:paraId="62AB5CB4" w14:textId="2CACD27E" w:rsidR="00E57933" w:rsidRDefault="00E57933" w:rsidP="00E57933">
      <w:r w:rsidRPr="008D4167">
        <w:t xml:space="preserve">Der für die Durchführung einer zuverlässigen Sobol-Sensitivitätsanalyse erforderliche Stichprobenumfang hängt von zwei Hauptfaktoren ab:  von der Komplexität des Modells und von der Anzahl der ausgewerteten Parameter. Obwohl es keinen allgemeinen Konsens über die optimale Anzahl der zu generierenden Parametersätze gibt, gilt die allgemeine Faustregel, dass </w:t>
      </w:r>
      <w:r w:rsidR="000C5475">
        <w:t>für</w:t>
      </w:r>
      <w:r w:rsidRPr="008D4167">
        <w:t xml:space="preserve"> </w:t>
      </w:r>
      <w:r w:rsidR="000C5475">
        <w:t xml:space="preserve">eine </w:t>
      </w:r>
      <w:r w:rsidRPr="008D4167">
        <w:t>größer</w:t>
      </w:r>
      <w:r w:rsidR="000C5475">
        <w:t>e</w:t>
      </w:r>
      <w:r w:rsidRPr="008D4167">
        <w:t xml:space="preserve"> Anzahl </w:t>
      </w:r>
      <w:r w:rsidR="000C5475">
        <w:t>an</w:t>
      </w:r>
      <w:r w:rsidRPr="008D4167">
        <w:t xml:space="preserve"> Modellparameter</w:t>
      </w:r>
      <w:r w:rsidR="000C5475">
        <w:t>n</w:t>
      </w:r>
      <w:r w:rsidRPr="008D4167">
        <w:t>,</w:t>
      </w:r>
      <w:r w:rsidR="000C5475">
        <w:t xml:space="preserve"> auch mehr Parametersätze benötigt werden. </w:t>
      </w:r>
      <w:r w:rsidRPr="008D4167">
        <w:t>Für ein komplexes Modell mit einer großen Anzahl von unsicheren Parametern (z. B. 20 Parameter) sollten beispielsweise mindestens 100.000 Modellevaluierungen durchgeführt werden.</w:t>
      </w:r>
    </w:p>
    <w:p w14:paraId="497377ED" w14:textId="77777777" w:rsidR="005400E3" w:rsidRDefault="005400E3" w:rsidP="00EF7424"/>
    <w:p w14:paraId="6F38355F" w14:textId="2F5C305F" w:rsidR="00DA5B61" w:rsidRPr="00253F49" w:rsidRDefault="00502CA8" w:rsidP="00253F49">
      <w:pPr>
        <w:jc w:val="center"/>
        <w:rPr>
          <w:b/>
          <w:bCs/>
          <w:i/>
          <w:iCs/>
          <w:sz w:val="36"/>
          <w:szCs w:val="36"/>
        </w:rPr>
      </w:pPr>
      <w:r w:rsidRPr="00253F49">
        <w:rPr>
          <w:b/>
          <w:bCs/>
          <w:i/>
          <w:iCs/>
          <w:sz w:val="36"/>
          <w:szCs w:val="36"/>
        </w:rPr>
        <w:t>Implementierung</w:t>
      </w:r>
      <w:r w:rsidR="00253F49">
        <w:rPr>
          <w:b/>
          <w:bCs/>
          <w:i/>
          <w:iCs/>
          <w:sz w:val="36"/>
          <w:szCs w:val="36"/>
        </w:rPr>
        <w:t>.</w:t>
      </w:r>
    </w:p>
    <w:p w14:paraId="02D65C42" w14:textId="749E082B" w:rsidR="00502CA8" w:rsidRDefault="00502CA8" w:rsidP="00EF7424"/>
    <w:p w14:paraId="6DAC62AA" w14:textId="14627FBB" w:rsidR="00502CA8" w:rsidRDefault="000C5475" w:rsidP="00EF7424">
      <w:r>
        <w:t xml:space="preserve">Die Implementierung des SEIR-Modells sowie die Funktionen für das </w:t>
      </w:r>
      <w:proofErr w:type="spellStart"/>
      <w:r>
        <w:t>Latin</w:t>
      </w:r>
      <w:proofErr w:type="spellEnd"/>
      <w:r>
        <w:t>-Hypercube-Sampling (LHS) wurden aus de</w:t>
      </w:r>
      <w:r w:rsidR="00DB7221">
        <w:t>r</w:t>
      </w:r>
      <w:r>
        <w:t xml:space="preserve"> vorangegangenen Abgabe übernommen. Einzig die Methode zur Verifikation der Ergebnisse des LHS wurde für eine bessere Verständlichkeit neu implementiert. Für jeden Parameter werden die gesampelten Werte zunächst sortiert. </w:t>
      </w:r>
      <w:r w:rsidR="0004156E">
        <w:t xml:space="preserve">Anschließend wird </w:t>
      </w:r>
      <w:r w:rsidR="005E08D9">
        <w:t>überprüft,</w:t>
      </w:r>
      <w:r w:rsidR="0004156E">
        <w:t xml:space="preserve"> ob jeder der </w:t>
      </w:r>
      <w:proofErr w:type="spellStart"/>
      <w:r w:rsidR="0004156E">
        <w:t>Sampelwerte</w:t>
      </w:r>
      <w:proofErr w:type="spellEnd"/>
      <w:r w:rsidR="0004156E">
        <w:t xml:space="preserve"> innerhalb des zugehörigen Subintervalls liegt. Die Untergrenze dieses Subintervalls wird bestimmt, in dem auf die Untergrenze des </w:t>
      </w:r>
      <w:proofErr w:type="spellStart"/>
      <w:r w:rsidR="0004156E">
        <w:t>Samplingintervalls</w:t>
      </w:r>
      <w:proofErr w:type="spellEnd"/>
      <w:r w:rsidR="0004156E">
        <w:t xml:space="preserve">, i-mal die Breite der Subintervalle addiert wird. Der Wert i entspricht dem Index des untersuchten </w:t>
      </w:r>
      <w:proofErr w:type="spellStart"/>
      <w:r w:rsidR="0004156E">
        <w:t>Samplingwerts</w:t>
      </w:r>
      <w:proofErr w:type="spellEnd"/>
      <w:r w:rsidR="0004156E">
        <w:t xml:space="preserve">. Die Breite der Subintervalle wird bestimmt, in dem man die Breite des gesamten </w:t>
      </w:r>
      <w:proofErr w:type="spellStart"/>
      <w:r w:rsidR="0004156E">
        <w:t>Samplingintervalls</w:t>
      </w:r>
      <w:proofErr w:type="spellEnd"/>
      <w:r w:rsidR="0004156E">
        <w:t xml:space="preserve"> durch die Anzahl der Samples teilt.</w:t>
      </w:r>
    </w:p>
    <w:p w14:paraId="50D587DC" w14:textId="4727ADC6" w:rsidR="0004156E" w:rsidRDefault="0004156E" w:rsidP="00EF7424">
      <w:r>
        <w:lastRenderedPageBreak/>
        <w:t xml:space="preserve">Für die Berechnung der Sobol-Indizes wurde zunächst die Funktion </w:t>
      </w:r>
      <w:proofErr w:type="spellStart"/>
      <w:r>
        <w:t>create_sobol_matrices</w:t>
      </w:r>
      <w:proofErr w:type="spellEnd"/>
      <w:r>
        <w:t>(</w:t>
      </w:r>
      <w:proofErr w:type="gramStart"/>
      <w:r>
        <w:t>A,B</w:t>
      </w:r>
      <w:proofErr w:type="gramEnd"/>
      <w:r>
        <w:t>) implementiert. Diese Funktion erstellt aus den beiden Matrizen A und B die entsprechenden Matrizen A</w:t>
      </w:r>
      <w:r w:rsidRPr="00FD586E">
        <w:rPr>
          <w:vertAlign w:val="subscript"/>
        </w:rPr>
        <w:t>B</w:t>
      </w:r>
      <w:r>
        <w:rPr>
          <w:vertAlign w:val="subscript"/>
        </w:rPr>
        <w:t xml:space="preserve">. </w:t>
      </w:r>
      <w:r>
        <w:t xml:space="preserve">Zunächst werden die Matrizen wieder transponiert wodurch die </w:t>
      </w:r>
      <w:proofErr w:type="spellStart"/>
      <w:r>
        <w:t>Samplingwerte</w:t>
      </w:r>
      <w:proofErr w:type="spellEnd"/>
      <w:r>
        <w:t xml:space="preserve"> für je einen Parameter in </w:t>
      </w:r>
      <w:proofErr w:type="gramStart"/>
      <w:r w:rsidR="00DB7221">
        <w:t>je einer Zeile</w:t>
      </w:r>
      <w:proofErr w:type="gramEnd"/>
      <w:r>
        <w:t xml:space="preserve"> stehen. Anschließend wird für jeden Parameter einmal die Matrix A kopiert und die Zeile mit den Werten des entsprechenden Parameters durch die entsprechende Zeile der Matrix B ersetzt. Die erstellte</w:t>
      </w:r>
      <w:r w:rsidR="00DB7221">
        <w:t>n</w:t>
      </w:r>
      <w:r>
        <w:t xml:space="preserve"> Matr</w:t>
      </w:r>
      <w:r w:rsidR="00DB7221">
        <w:t>izen</w:t>
      </w:r>
      <w:r>
        <w:t xml:space="preserve"> w</w:t>
      </w:r>
      <w:r w:rsidR="00DB7221">
        <w:t>erden</w:t>
      </w:r>
      <w:r>
        <w:t xml:space="preserve"> in einem Array abgespeichert welches abschließend zurückgegeben wird.</w:t>
      </w:r>
      <w:r w:rsidR="00807826">
        <w:t xml:space="preserve"> Zur Verifikation dieser Funktion, wurde eine Funktion implementiert welche die beiden Matrizen A und B sowie die Liste der Sobol-Matrizen M als Parameter übergeben bekommt. </w:t>
      </w:r>
      <w:r w:rsidR="00DB7221">
        <w:t>Es</w:t>
      </w:r>
      <w:r w:rsidR="00807826">
        <w:t xml:space="preserve"> wir</w:t>
      </w:r>
      <w:r w:rsidR="00DB7221">
        <w:t>d</w:t>
      </w:r>
      <w:r w:rsidR="00807826">
        <w:t xml:space="preserve"> </w:t>
      </w:r>
      <w:r w:rsidR="005E08D9">
        <w:t>überprüft</w:t>
      </w:r>
      <w:r w:rsidR="00807826">
        <w:t>, ob in jeder der Sobol-Matrizen die Werte der Parameter gleich den Werten der Matrix A beziehungsweise B sind. Für die i-</w:t>
      </w:r>
      <w:proofErr w:type="spellStart"/>
      <w:r w:rsidR="00807826">
        <w:t>te</w:t>
      </w:r>
      <w:proofErr w:type="spellEnd"/>
      <w:r w:rsidR="00807826">
        <w:t xml:space="preserve"> Matrix muss dabei gelten, dass die Werte in Spalte i gleich den Werten der Spalte i der Matrix B sind und gleichzeitig alle anderen Werten den Werten aus Matrix A entsprechen.</w:t>
      </w:r>
    </w:p>
    <w:p w14:paraId="72F1D7C5" w14:textId="01A957F8" w:rsidR="00807826" w:rsidRDefault="00807826" w:rsidP="00EF7424">
      <w:r>
        <w:t xml:space="preserve">Bei der Implementierung der Funktion </w:t>
      </w:r>
      <w:proofErr w:type="spellStart"/>
      <w:r>
        <w:t>compute_total_</w:t>
      </w:r>
      <w:proofErr w:type="gramStart"/>
      <w:r>
        <w:t>indices</w:t>
      </w:r>
      <w:proofErr w:type="spellEnd"/>
      <w:r>
        <w:t>(</w:t>
      </w:r>
      <w:proofErr w:type="spellStart"/>
      <w:proofErr w:type="gramEnd"/>
      <w:r>
        <w:t>f_A</w:t>
      </w:r>
      <w:proofErr w:type="spellEnd"/>
      <w:r>
        <w:t xml:space="preserve">, </w:t>
      </w:r>
      <w:proofErr w:type="spellStart"/>
      <w:r>
        <w:t>f_AB</w:t>
      </w:r>
      <w:proofErr w:type="spellEnd"/>
      <w:r>
        <w:t>) welche die Sobol Indizes berechnen soll wurde sich an dem oben bereits genannten Jansens-</w:t>
      </w:r>
      <w:proofErr w:type="spellStart"/>
      <w:r>
        <w:t>Estimator</w:t>
      </w:r>
      <w:proofErr w:type="spellEnd"/>
      <w:r>
        <w:t xml:space="preserve"> orientiert.</w:t>
      </w:r>
    </w:p>
    <w:p w14:paraId="30357F0F" w14:textId="0563D4F5" w:rsidR="00807826" w:rsidRDefault="00253F49" w:rsidP="00EF7424">
      <m:oMathPara>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nary>
            <m:naryPr>
              <m:chr m:val="∑"/>
              <m:grow m:val="1"/>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f_A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f_AB</m:t>
                          </m:r>
                        </m:e>
                        <m:sub>
                          <m:r>
                            <w:rPr>
                              <w:rFonts w:ascii="Cambria Math" w:hAnsi="Cambria Math"/>
                            </w:rPr>
                            <m:t>j</m:t>
                          </m:r>
                        </m:sub>
                        <m:sup>
                          <m:r>
                            <w:rPr>
                              <w:rFonts w:ascii="Cambria Math" w:hAnsi="Cambria Math"/>
                            </w:rPr>
                            <m:t>i</m:t>
                          </m:r>
                        </m:sup>
                      </m:sSubSup>
                    </m:e>
                  </m:d>
                </m:e>
                <m:sup>
                  <m:r>
                    <w:rPr>
                      <w:rFonts w:ascii="Cambria Math" w:hAnsi="Cambria Math"/>
                    </w:rPr>
                    <m:t>2</m:t>
                  </m:r>
                </m:sup>
              </m:sSup>
            </m:e>
          </m:nary>
        </m:oMath>
      </m:oMathPara>
    </w:p>
    <w:p w14:paraId="2BCC2203" w14:textId="5141A8F4" w:rsidR="00502CA8" w:rsidRDefault="00502CA8" w:rsidP="00EF7424"/>
    <w:p w14:paraId="5EFB66A4" w14:textId="3AF5A277" w:rsidR="00502CA8" w:rsidRDefault="00C94AF4" w:rsidP="00EF7424">
      <w:pPr>
        <w:rPr>
          <w:rFonts w:eastAsiaTheme="minorEastAsia"/>
        </w:rPr>
      </w:pPr>
      <w:proofErr w:type="spellStart"/>
      <w:r>
        <w:t>f_A</w:t>
      </w:r>
      <w:proofErr w:type="spellEnd"/>
      <w:r>
        <w:t xml:space="preserve"> beziehungsweise </w:t>
      </w:r>
      <w:proofErr w:type="spellStart"/>
      <w:r>
        <w:t>f_AB</w:t>
      </w:r>
      <w:proofErr w:type="spellEnd"/>
      <w:r>
        <w:t xml:space="preserve"> ist dabei eine Liste beziehungsweise Matrix mit den Werten der entsprechenden </w:t>
      </w:r>
      <w:proofErr w:type="spellStart"/>
      <w:r>
        <w:t>QoIs</w:t>
      </w:r>
      <w:proofErr w:type="spellEnd"/>
      <w:r>
        <w:t xml:space="preserve"> berechnet mit den Parametern der Matrix A beziehungsweise Liste von Matrizen AB. </w:t>
      </w:r>
      <m:oMath>
        <m:sSubSup>
          <m:sSubSupPr>
            <m:ctrlPr>
              <w:rPr>
                <w:rFonts w:ascii="Cambria Math" w:hAnsi="Cambria Math"/>
                <w:i/>
              </w:rPr>
            </m:ctrlPr>
          </m:sSubSupPr>
          <m:e>
            <m:r>
              <w:rPr>
                <w:rFonts w:ascii="Cambria Math" w:hAnsi="Cambria Math"/>
              </w:rPr>
              <m:t>f_AB</m:t>
            </m:r>
          </m:e>
          <m:sub>
            <m:r>
              <w:rPr>
                <w:rFonts w:ascii="Cambria Math" w:hAnsi="Cambria Math"/>
              </w:rPr>
              <m:t>j</m:t>
            </m:r>
          </m:sub>
          <m:sup>
            <m:r>
              <w:rPr>
                <w:rFonts w:ascii="Cambria Math" w:hAnsi="Cambria Math"/>
              </w:rPr>
              <m:t>i</m:t>
            </m:r>
          </m:sup>
        </m:sSubSup>
      </m:oMath>
      <w:r>
        <w:rPr>
          <w:rFonts w:eastAsiaTheme="minorEastAsia"/>
        </w:rPr>
        <w:t xml:space="preserve"> beschreibt dabei den Wert der </w:t>
      </w:r>
      <w:proofErr w:type="spellStart"/>
      <w:r>
        <w:rPr>
          <w:rFonts w:eastAsiaTheme="minorEastAsia"/>
        </w:rPr>
        <w:t>QoI</w:t>
      </w:r>
      <w:proofErr w:type="spellEnd"/>
      <w:r>
        <w:rPr>
          <w:rFonts w:eastAsiaTheme="minorEastAsia"/>
        </w:rPr>
        <w:t xml:space="preserve"> für eine Auswertung in Zeile j der </w:t>
      </w:r>
      <w:proofErr w:type="gramStart"/>
      <w:r>
        <w:rPr>
          <w:rFonts w:eastAsiaTheme="minorEastAsia"/>
        </w:rPr>
        <w:t>Sobol-Matrix</w:t>
      </w:r>
      <w:proofErr w:type="gramEnd"/>
      <w:r>
        <w:rPr>
          <w:rFonts w:eastAsiaTheme="minorEastAsia"/>
        </w:rPr>
        <w:t xml:space="preserve"> bei der die Spalte i von Matrix A durch die entsprechende Spalte aus Matrix B ersetzt wurde.</w:t>
      </w:r>
    </w:p>
    <w:p w14:paraId="0E1A7206" w14:textId="00245DA2" w:rsidR="002E6EF0" w:rsidRPr="00DB7221" w:rsidRDefault="00C94AF4" w:rsidP="00EF7424">
      <w:pPr>
        <w:rPr>
          <w:rFonts w:eastAsiaTheme="minorEastAsia"/>
        </w:rPr>
      </w:pPr>
      <w:r>
        <w:rPr>
          <w:rFonts w:eastAsiaTheme="minorEastAsia"/>
        </w:rPr>
        <w:t xml:space="preserve">Zur Verifikation wurde </w:t>
      </w:r>
      <w:r w:rsidR="00DB7221">
        <w:rPr>
          <w:rFonts w:eastAsiaTheme="minorEastAsia"/>
        </w:rPr>
        <w:t>überprüft,</w:t>
      </w:r>
      <w:r>
        <w:rPr>
          <w:rFonts w:eastAsiaTheme="minorEastAsia"/>
        </w:rPr>
        <w:t xml:space="preserve"> ob die durch die oben beschriebene Funktion berechneten Sobol-total-</w:t>
      </w:r>
      <w:proofErr w:type="spellStart"/>
      <w:r>
        <w:rPr>
          <w:rFonts w:eastAsiaTheme="minorEastAsia"/>
        </w:rPr>
        <w:t>effect</w:t>
      </w:r>
      <w:proofErr w:type="spellEnd"/>
      <w:r>
        <w:rPr>
          <w:rFonts w:eastAsiaTheme="minorEastAsia"/>
        </w:rPr>
        <w:t xml:space="preserve">-indices mit den, für zwei einfache Funktionen, von Hand berechneten </w:t>
      </w:r>
      <w:r w:rsidR="00DB7221">
        <w:rPr>
          <w:rFonts w:eastAsiaTheme="minorEastAsia"/>
        </w:rPr>
        <w:t>Indizes übereinstimmen</w:t>
      </w:r>
      <w:r>
        <w:rPr>
          <w:rFonts w:eastAsiaTheme="minorEastAsia"/>
        </w:rPr>
        <w:t>. Die erste Untersuchte Zielfunktion ist dabei Y=X</w:t>
      </w:r>
      <w:r>
        <w:rPr>
          <w:rFonts w:eastAsiaTheme="minorEastAsia"/>
          <w:vertAlign w:val="subscript"/>
        </w:rPr>
        <w:t>1</w:t>
      </w:r>
      <w:r>
        <w:rPr>
          <w:rFonts w:eastAsiaTheme="minorEastAsia"/>
        </w:rPr>
        <w:t>+X</w:t>
      </w:r>
      <w:proofErr w:type="gramStart"/>
      <w:r>
        <w:rPr>
          <w:rFonts w:eastAsiaTheme="minorEastAsia"/>
          <w:vertAlign w:val="subscript"/>
        </w:rPr>
        <w:t>2</w:t>
      </w:r>
      <w:r>
        <w:rPr>
          <w:rFonts w:eastAsiaTheme="minorEastAsia"/>
        </w:rPr>
        <w:t xml:space="preserve"> .</w:t>
      </w:r>
      <w:proofErr w:type="gramEnd"/>
      <w:r>
        <w:rPr>
          <w:rFonts w:eastAsiaTheme="minorEastAsia"/>
        </w:rPr>
        <w:t xml:space="preserve"> Es ist offensichtlich, dass beide Parameter </w:t>
      </w:r>
      <w:r w:rsidR="00DB7221">
        <w:rPr>
          <w:rFonts w:eastAsiaTheme="minorEastAsia"/>
        </w:rPr>
        <w:t>denselben</w:t>
      </w:r>
      <w:r>
        <w:rPr>
          <w:rFonts w:eastAsiaTheme="minorEastAsia"/>
        </w:rPr>
        <w:t xml:space="preserve"> Einfluss auf den Wert der Zielfunktion haben. (Unter der Annahme, dass beide mit der identischen Gleichverteilung gesampelt wurden.) Beide Sobol-total-</w:t>
      </w:r>
      <w:proofErr w:type="spellStart"/>
      <w:r>
        <w:rPr>
          <w:rFonts w:eastAsiaTheme="minorEastAsia"/>
        </w:rPr>
        <w:t>effect</w:t>
      </w:r>
      <w:proofErr w:type="spellEnd"/>
      <w:r>
        <w:rPr>
          <w:rFonts w:eastAsiaTheme="minorEastAsia"/>
        </w:rPr>
        <w:t xml:space="preserve">-indices sollten also einen </w:t>
      </w:r>
      <w:r w:rsidR="002E6EF0">
        <w:rPr>
          <w:rFonts w:eastAsiaTheme="minorEastAsia"/>
        </w:rPr>
        <w:t>identischen Wert</w:t>
      </w:r>
      <w:r>
        <w:rPr>
          <w:rFonts w:eastAsiaTheme="minorEastAsia"/>
        </w:rPr>
        <w:t xml:space="preserve"> annehmen. Da in dieser Funktion nur „First </w:t>
      </w:r>
      <w:proofErr w:type="spellStart"/>
      <w:r>
        <w:rPr>
          <w:rFonts w:eastAsiaTheme="minorEastAsia"/>
        </w:rPr>
        <w:t>order</w:t>
      </w:r>
      <w:proofErr w:type="spellEnd"/>
      <w:r>
        <w:rPr>
          <w:rFonts w:eastAsiaTheme="minorEastAsia"/>
        </w:rPr>
        <w:t xml:space="preserve"> </w:t>
      </w:r>
      <w:proofErr w:type="spellStart"/>
      <w:r>
        <w:rPr>
          <w:rFonts w:eastAsiaTheme="minorEastAsia"/>
        </w:rPr>
        <w:t>effects</w:t>
      </w:r>
      <w:proofErr w:type="spellEnd"/>
      <w:r>
        <w:rPr>
          <w:rFonts w:eastAsiaTheme="minorEastAsia"/>
        </w:rPr>
        <w:t xml:space="preserve">“ auftreten und die Parameter sich nicht gegenseitig beeinflussen, </w:t>
      </w:r>
      <w:r w:rsidR="002E6EF0">
        <w:rPr>
          <w:rFonts w:eastAsiaTheme="minorEastAsia"/>
        </w:rPr>
        <w:t>entsprechen die beiden total-</w:t>
      </w:r>
      <w:proofErr w:type="spellStart"/>
      <w:r w:rsidR="002E6EF0">
        <w:rPr>
          <w:rFonts w:eastAsiaTheme="minorEastAsia"/>
        </w:rPr>
        <w:t>effect</w:t>
      </w:r>
      <w:proofErr w:type="spellEnd"/>
      <w:r w:rsidR="002E6EF0">
        <w:rPr>
          <w:rFonts w:eastAsiaTheme="minorEastAsia"/>
        </w:rPr>
        <w:t xml:space="preserve"> Indizes gleichzeitig den First-order-indizes. Daraus ergibt sich die Bedingung, dass die Summe der Indizes auch 1 ergeben muss. Daraus folgt, dass der Wert für die </w:t>
      </w:r>
      <w:proofErr w:type="spellStart"/>
      <w:r w:rsidR="002E6EF0">
        <w:rPr>
          <w:rFonts w:eastAsiaTheme="minorEastAsia"/>
        </w:rPr>
        <w:t>Sobolindizes</w:t>
      </w:r>
      <w:proofErr w:type="spellEnd"/>
      <w:r w:rsidR="002E6EF0">
        <w:rPr>
          <w:rFonts w:eastAsiaTheme="minorEastAsia"/>
        </w:rPr>
        <w:t xml:space="preserve"> gleich 0.5 sein sollte. Da die Sobol-indizes durch den Jansens-</w:t>
      </w:r>
      <w:proofErr w:type="spellStart"/>
      <w:r w:rsidR="002E6EF0">
        <w:rPr>
          <w:rFonts w:eastAsiaTheme="minorEastAsia"/>
        </w:rPr>
        <w:t>Estimator</w:t>
      </w:r>
      <w:proofErr w:type="spellEnd"/>
      <w:r w:rsidR="002E6EF0">
        <w:rPr>
          <w:rFonts w:eastAsiaTheme="minorEastAsia"/>
        </w:rPr>
        <w:t xml:space="preserve"> nur angenähert werden und abhängig von den gesampelten Werten auch vom Zielwert 0.5 abweichen können, werden Werte im Intervall [0.45, 0.55] als gültig akzeptiert. </w:t>
      </w:r>
      <w:r w:rsidR="00DB7221">
        <w:rPr>
          <w:rFonts w:eastAsiaTheme="minorEastAsia"/>
        </w:rPr>
        <w:t>Die zweite untersuchte Funktion ist Y=X</w:t>
      </w:r>
      <w:r w:rsidR="00DB7221">
        <w:rPr>
          <w:rFonts w:eastAsiaTheme="minorEastAsia"/>
          <w:vertAlign w:val="subscript"/>
        </w:rPr>
        <w:t>1</w:t>
      </w:r>
      <w:r w:rsidR="00DB7221">
        <w:rPr>
          <w:rFonts w:eastAsiaTheme="minorEastAsia"/>
        </w:rPr>
        <w:t>*X</w:t>
      </w:r>
      <w:r w:rsidR="00DB7221">
        <w:rPr>
          <w:rFonts w:eastAsiaTheme="minorEastAsia"/>
          <w:vertAlign w:val="subscript"/>
        </w:rPr>
        <w:t>2</w:t>
      </w:r>
      <w:r w:rsidR="00DB7221">
        <w:rPr>
          <w:rFonts w:eastAsiaTheme="minorEastAsia"/>
        </w:rPr>
        <w:t xml:space="preserve">. Auch hierbei üben beide Parameter </w:t>
      </w:r>
      <w:proofErr w:type="gramStart"/>
      <w:r w:rsidR="00DB7221">
        <w:rPr>
          <w:rFonts w:eastAsiaTheme="minorEastAsia"/>
        </w:rPr>
        <w:t>den selben</w:t>
      </w:r>
      <w:proofErr w:type="gramEnd"/>
      <w:r w:rsidR="00DB7221">
        <w:rPr>
          <w:rFonts w:eastAsiaTheme="minorEastAsia"/>
        </w:rPr>
        <w:t xml:space="preserve"> Einfluss auf Y aus wodurch die beiden Sobol Indizes identisch sind. Außerdem tritt hier auch eine gegenseitige Beeinflussung der Parameter auf. Dies hat zur Folge, dass die Summe der beiden Indizes größer 1 ist.</w:t>
      </w:r>
    </w:p>
    <w:p w14:paraId="432179E4" w14:textId="66BBC2EE" w:rsidR="005400E3" w:rsidRDefault="00DB7221" w:rsidP="00EF7424">
      <w:r>
        <w:rPr>
          <w:rFonts w:eastAsiaTheme="minorEastAsia"/>
        </w:rPr>
        <w:t>Zum Abschluss der Implementierung</w:t>
      </w:r>
      <w:r w:rsidR="002E6EF0">
        <w:rPr>
          <w:rFonts w:eastAsiaTheme="minorEastAsia"/>
        </w:rPr>
        <w:t xml:space="preserve"> wurden die neu </w:t>
      </w:r>
      <w:r>
        <w:rPr>
          <w:rFonts w:eastAsiaTheme="minorEastAsia"/>
        </w:rPr>
        <w:t>erstellten</w:t>
      </w:r>
      <w:r w:rsidR="002E6EF0">
        <w:rPr>
          <w:rFonts w:eastAsiaTheme="minorEastAsia"/>
        </w:rPr>
        <w:t xml:space="preserve"> Funktionen auf das SEIR Modell angewandt. Zunächst wurden zweimal 1000 Samples für die Matrizen A und B erzeugt</w:t>
      </w:r>
      <w:r>
        <w:rPr>
          <w:rFonts w:eastAsiaTheme="minorEastAsia"/>
        </w:rPr>
        <w:t>. Aus diesen Matrizen wurden dann die 4 Sobol-Matrizen erstellt</w:t>
      </w:r>
      <w:r w:rsidR="002E6EF0">
        <w:rPr>
          <w:rFonts w:eastAsiaTheme="minorEastAsia"/>
        </w:rPr>
        <w:t xml:space="preserve"> und </w:t>
      </w:r>
      <w:r>
        <w:rPr>
          <w:rFonts w:eastAsiaTheme="minorEastAsia"/>
        </w:rPr>
        <w:t>für diese Matrizen sowie die Matrix A die</w:t>
      </w:r>
      <w:r w:rsidR="002E6EF0">
        <w:rPr>
          <w:rFonts w:eastAsiaTheme="minorEastAsia"/>
        </w:rPr>
        <w:t xml:space="preserve"> entsprechenden Werte für die beiden </w:t>
      </w:r>
      <w:proofErr w:type="spellStart"/>
      <w:r w:rsidR="002E6EF0">
        <w:rPr>
          <w:rFonts w:eastAsiaTheme="minorEastAsia"/>
        </w:rPr>
        <w:t>QoIs</w:t>
      </w:r>
      <w:proofErr w:type="spellEnd"/>
      <w:r w:rsidR="002E6EF0">
        <w:rPr>
          <w:rFonts w:eastAsiaTheme="minorEastAsia"/>
        </w:rPr>
        <w:t xml:space="preserve"> berechnet. Abschließend wurden die Sobol-Indizes berechnet und die Ergebnisse in einem </w:t>
      </w:r>
      <w:proofErr w:type="spellStart"/>
      <w:r w:rsidR="002E6EF0">
        <w:rPr>
          <w:rFonts w:eastAsiaTheme="minorEastAsia"/>
        </w:rPr>
        <w:t>Barplot</w:t>
      </w:r>
      <w:proofErr w:type="spellEnd"/>
      <w:r w:rsidR="002E6EF0">
        <w:rPr>
          <w:rFonts w:eastAsiaTheme="minorEastAsia"/>
        </w:rPr>
        <w:t xml:space="preserve"> dargestellt.</w:t>
      </w:r>
    </w:p>
    <w:p w14:paraId="059FD80C" w14:textId="77777777" w:rsidR="00253F49" w:rsidRDefault="00253F49" w:rsidP="00253F49"/>
    <w:p w14:paraId="544A35AF" w14:textId="7EB87650" w:rsidR="00502CA8" w:rsidRPr="00253F49" w:rsidRDefault="00351217" w:rsidP="00253F49">
      <w:pPr>
        <w:jc w:val="center"/>
        <w:rPr>
          <w:b/>
          <w:bCs/>
          <w:i/>
          <w:iCs/>
          <w:sz w:val="36"/>
          <w:szCs w:val="36"/>
        </w:rPr>
      </w:pPr>
      <w:r w:rsidRPr="00253F49">
        <w:rPr>
          <w:b/>
          <w:bCs/>
          <w:i/>
          <w:iCs/>
          <w:sz w:val="36"/>
          <w:szCs w:val="36"/>
        </w:rPr>
        <w:lastRenderedPageBreak/>
        <w:t>Interpretation</w:t>
      </w:r>
    </w:p>
    <w:p w14:paraId="49C9DE0E" w14:textId="5F54C636" w:rsidR="00502CA8" w:rsidRDefault="00502CA8" w:rsidP="00EF7424"/>
    <w:p w14:paraId="5244F8C8" w14:textId="0902BF22" w:rsidR="002E6EF0" w:rsidRDefault="002E6EF0" w:rsidP="00EF7424">
      <w:r>
        <w:t>Wie bereits beschrieben, sind die Werte für Sobol-Indizes stets</w:t>
      </w:r>
      <w:r w:rsidR="001A468A">
        <w:t xml:space="preserve"> positiv (oder 0). Dadurch geht die Information verloren, in welche Richtung der Parameter die </w:t>
      </w:r>
      <w:proofErr w:type="spellStart"/>
      <w:r w:rsidR="001A468A">
        <w:t>QoI</w:t>
      </w:r>
      <w:proofErr w:type="spellEnd"/>
      <w:r w:rsidR="001A468A">
        <w:t xml:space="preserve"> beeinflusst. Der berechnete Sobol-total-</w:t>
      </w:r>
      <w:proofErr w:type="spellStart"/>
      <w:r w:rsidR="001A468A">
        <w:t>effect</w:t>
      </w:r>
      <w:proofErr w:type="spellEnd"/>
      <w:r w:rsidR="001A468A">
        <w:t xml:space="preserve">-Index für einen entsprechenden Parameter gibt an, </w:t>
      </w:r>
      <w:r w:rsidR="00DB7221">
        <w:t>welchen Teil der Gesamtvarianz durch den jeweiligen Parameter bedingt wird.</w:t>
      </w:r>
    </w:p>
    <w:p w14:paraId="4674E82B" w14:textId="0DFB8142" w:rsidR="001A468A" w:rsidRDefault="001A468A" w:rsidP="00EF7424"/>
    <w:p w14:paraId="5F39CC98" w14:textId="3E634646" w:rsidR="008D7682" w:rsidRPr="00253F49" w:rsidRDefault="008D7682" w:rsidP="00253F49">
      <w:pPr>
        <w:jc w:val="center"/>
        <w:rPr>
          <w:u w:val="single"/>
        </w:rPr>
      </w:pPr>
      <w:r w:rsidRPr="00253F49">
        <w:rPr>
          <w:u w:val="single"/>
        </w:rPr>
        <w:t>Vergleich für Finale kumulative Fälle (QoI1):</w:t>
      </w:r>
    </w:p>
    <w:p w14:paraId="0FD81FBF" w14:textId="71469735" w:rsidR="008D7682" w:rsidRDefault="008D7682" w:rsidP="00EF7424"/>
    <w:p w14:paraId="020B3951" w14:textId="20BFD022" w:rsidR="008D7682" w:rsidRDefault="008D7682" w:rsidP="008D7682">
      <w:pPr>
        <w:keepNext/>
      </w:pPr>
      <w:r>
        <w:rPr>
          <w:noProof/>
        </w:rPr>
        <w:drawing>
          <wp:anchor distT="0" distB="0" distL="114300" distR="114300" simplePos="0" relativeHeight="251658240" behindDoc="0" locked="0" layoutInCell="1" allowOverlap="1" wp14:anchorId="408BDADC" wp14:editId="7BA73A2D">
            <wp:simplePos x="0" y="0"/>
            <wp:positionH relativeFrom="column">
              <wp:posOffset>2776855</wp:posOffset>
            </wp:positionH>
            <wp:positionV relativeFrom="paragraph">
              <wp:posOffset>309245</wp:posOffset>
            </wp:positionV>
            <wp:extent cx="2649839" cy="17716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9839" cy="1771650"/>
                    </a:xfrm>
                    <a:prstGeom prst="rect">
                      <a:avLst/>
                    </a:prstGeom>
                  </pic:spPr>
                </pic:pic>
              </a:graphicData>
            </a:graphic>
          </wp:anchor>
        </w:drawing>
      </w:r>
      <w:r>
        <w:rPr>
          <w:noProof/>
        </w:rPr>
        <w:drawing>
          <wp:inline distT="0" distB="0" distL="0" distR="0" wp14:anchorId="5E86FEC6" wp14:editId="4AB12E71">
            <wp:extent cx="2954134"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4134" cy="2028825"/>
                    </a:xfrm>
                    <a:prstGeom prst="rect">
                      <a:avLst/>
                    </a:prstGeom>
                    <a:noFill/>
                    <a:ln>
                      <a:noFill/>
                    </a:ln>
                  </pic:spPr>
                </pic:pic>
              </a:graphicData>
            </a:graphic>
          </wp:inline>
        </w:drawing>
      </w:r>
    </w:p>
    <w:p w14:paraId="41807EFF" w14:textId="7994C2D7" w:rsidR="008D7682" w:rsidRDefault="008D7682" w:rsidP="008D7682">
      <w:pPr>
        <w:pStyle w:val="Beschriftung"/>
      </w:pPr>
      <w:r>
        <w:rPr>
          <w:noProof/>
        </w:rPr>
        <mc:AlternateContent>
          <mc:Choice Requires="wps">
            <w:drawing>
              <wp:anchor distT="0" distB="0" distL="114300" distR="114300" simplePos="0" relativeHeight="251660288" behindDoc="0" locked="0" layoutInCell="1" allowOverlap="1" wp14:anchorId="578752B0" wp14:editId="3EF3C6D6">
                <wp:simplePos x="0" y="0"/>
                <wp:positionH relativeFrom="column">
                  <wp:posOffset>2767330</wp:posOffset>
                </wp:positionH>
                <wp:positionV relativeFrom="paragraph">
                  <wp:posOffset>13970</wp:posOffset>
                </wp:positionV>
                <wp:extent cx="264922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53D505E3" w14:textId="43015294" w:rsidR="008D7682" w:rsidRPr="00F537BA" w:rsidRDefault="008D7682" w:rsidP="008D7682">
                            <w:pPr>
                              <w:pStyle w:val="Beschriftung"/>
                              <w:rPr>
                                <w:noProof/>
                                <w:sz w:val="24"/>
                                <w:szCs w:val="24"/>
                              </w:rPr>
                            </w:pPr>
                            <w:r>
                              <w:t xml:space="preserve"> PRCCs für QoI1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752B0" id="_x0000_t202" coordsize="21600,21600" o:spt="202" path="m,l,21600r21600,l21600,xe">
                <v:stroke joinstyle="miter"/>
                <v:path gradientshapeok="t" o:connecttype="rect"/>
              </v:shapetype>
              <v:shape id="Textfeld 10" o:spid="_x0000_s1026" type="#_x0000_t202" style="position:absolute;margin-left:217.9pt;margin-top:1.1pt;width:20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" stroked="f">
                <v:textbox style="mso-fit-shape-to-text:t" inset="0,0,0,0">
                  <w:txbxContent>
                    <w:p w14:paraId="53D505E3" w14:textId="43015294" w:rsidR="008D7682" w:rsidRPr="00F537BA" w:rsidRDefault="008D7682" w:rsidP="008D7682">
                      <w:pPr>
                        <w:pStyle w:val="Beschriftung"/>
                        <w:rPr>
                          <w:noProof/>
                          <w:sz w:val="24"/>
                          <w:szCs w:val="24"/>
                        </w:rPr>
                      </w:pPr>
                      <w:r>
                        <w:t xml:space="preserve"> PRCCs für QoI1</w:t>
                      </w:r>
                    </w:p>
                  </w:txbxContent>
                </v:textbox>
              </v:shape>
            </w:pict>
          </mc:Fallback>
        </mc:AlternateContent>
      </w:r>
      <w:r>
        <w:t>Abbildung 1: Sobol-Total-Effekt-Indizes für QoI1</w:t>
      </w:r>
    </w:p>
    <w:p w14:paraId="40F67FC8" w14:textId="2228629D" w:rsidR="001A468A" w:rsidRDefault="001A468A" w:rsidP="00EF7424">
      <w:r>
        <w:t xml:space="preserve">Es fällt auf, dass der </w:t>
      </w:r>
      <w:r w:rsidR="00A852C2">
        <w:t>Parameter Beta sowohl den höchsten PRCC als auch den höchsten Sobol Index</w:t>
      </w:r>
      <w:r w:rsidR="00B4233A">
        <w:t xml:space="preserve"> (0.84)</w:t>
      </w:r>
      <w:r w:rsidR="00A852C2">
        <w:t xml:space="preserve"> aufweist. Der PRCC liefert dabei die Information, dass höhere Werte für Beta fast immer zu einer größeren Zahl an </w:t>
      </w:r>
      <w:r w:rsidR="00B4233A">
        <w:t>kumulativ</w:t>
      </w:r>
      <w:r w:rsidR="00A852C2">
        <w:t xml:space="preserve"> Infizierten nach 60 Wochen führt. Allerdings wird erst durch Betrachtung des zugehörigen Sobol-Index klar, dass diese Änderung in der </w:t>
      </w:r>
      <w:proofErr w:type="spellStart"/>
      <w:r w:rsidR="00A852C2">
        <w:t>QoI</w:t>
      </w:r>
      <w:proofErr w:type="spellEnd"/>
      <w:r w:rsidR="00A852C2">
        <w:t xml:space="preserve"> deutlich größer ist als dies bei anderen Parametern der Fall wäre. Es wird dadurch eindeutig, dass die </w:t>
      </w:r>
      <w:r w:rsidR="00DB7221">
        <w:t>Transmissions</w:t>
      </w:r>
      <w:r w:rsidR="00A852C2">
        <w:t xml:space="preserve">rate Beta der entscheidende Parameter des Modells ist. Für Alpha und I0 sind sowohl PRCC als auch Sobol-Index fast </w:t>
      </w:r>
      <w:r w:rsidR="00B4233A">
        <w:t>0. (Sobol Indizes gerundet: 0.03, 0.00)</w:t>
      </w:r>
      <w:r w:rsidR="00A852C2">
        <w:t xml:space="preserve"> Diese Parameter sind für die Zahl der </w:t>
      </w:r>
      <w:r w:rsidR="00B4233A">
        <w:t>kumulativ</w:t>
      </w:r>
      <w:r w:rsidR="00A852C2">
        <w:t xml:space="preserve"> Infizierten nach 60 Wochen also sehr unbedeutend. Bei der Betrachtung des Parameters Gamma fällt auf, dass dieser einen stark negativen PRCC und einen m</w:t>
      </w:r>
      <w:r w:rsidR="008076B0">
        <w:t>ittelgroßen Sobol-Index</w:t>
      </w:r>
      <w:r w:rsidR="00B4233A">
        <w:t xml:space="preserve"> (0.27)</w:t>
      </w:r>
      <w:r w:rsidR="008076B0">
        <w:t xml:space="preserve"> aufweist. Durch den PRCC lässt sich bestimmen, dass </w:t>
      </w:r>
      <w:r w:rsidR="00B4233A">
        <w:t>höhere</w:t>
      </w:r>
      <w:r w:rsidR="008076B0">
        <w:t xml:space="preserve"> Werte für Gamma fast immer zu einer geringeren Anzahl </w:t>
      </w:r>
      <w:r w:rsidR="00772C9E">
        <w:t>I</w:t>
      </w:r>
      <w:r w:rsidR="008076B0">
        <w:t>nfizierter führ</w:t>
      </w:r>
      <w:r w:rsidR="00DB7221">
        <w:t>en</w:t>
      </w:r>
      <w:r w:rsidR="008076B0">
        <w:t xml:space="preserve">. Der Sobol-Index </w:t>
      </w:r>
      <w:r w:rsidR="00772C9E">
        <w:t xml:space="preserve">zeigt jedoch, dass diese </w:t>
      </w:r>
      <w:proofErr w:type="gramStart"/>
      <w:r w:rsidR="00B4233A">
        <w:t>Änderung</w:t>
      </w:r>
      <w:r w:rsidR="00772C9E">
        <w:t xml:space="preserve"> </w:t>
      </w:r>
      <w:r w:rsidR="00B4233A">
        <w:t>relativ</w:t>
      </w:r>
      <w:proofErr w:type="gramEnd"/>
      <w:r w:rsidR="00B4233A">
        <w:t xml:space="preserve"> </w:t>
      </w:r>
      <w:r w:rsidR="00772C9E">
        <w:t xml:space="preserve">klein ist. Werden also Beta und Gamma mit </w:t>
      </w:r>
      <w:r w:rsidR="00B4233A">
        <w:t>denselben</w:t>
      </w:r>
      <w:r w:rsidR="00772C9E">
        <w:t xml:space="preserve"> Faktor vergrößert, so ist damit zu rechnen, dass der Anstieg der </w:t>
      </w:r>
      <w:proofErr w:type="spellStart"/>
      <w:r w:rsidR="00772C9E">
        <w:t>QoI</w:t>
      </w:r>
      <w:proofErr w:type="spellEnd"/>
      <w:r w:rsidR="00772C9E">
        <w:t xml:space="preserve"> der durch das größere Beta </w:t>
      </w:r>
      <w:r w:rsidR="00B4233A">
        <w:t>bedingt,</w:t>
      </w:r>
      <w:r w:rsidR="00772C9E">
        <w:t xml:space="preserve"> wird größer ist als die Reduktion der </w:t>
      </w:r>
      <w:proofErr w:type="spellStart"/>
      <w:r w:rsidR="00772C9E">
        <w:t>QoI</w:t>
      </w:r>
      <w:proofErr w:type="spellEnd"/>
      <w:r w:rsidR="00772C9E">
        <w:t xml:space="preserve"> durch ein größeres Gamma. Die Effekte von Beta überwiegen also die Effekte von Gamma. Dies macht insofern Sinn, da die Transmissionsrate Beta der Entscheidende Parameter einer Pandemie ist. Selbst wenn die Menschen sehr schnell wieder gesund werden </w:t>
      </w:r>
      <w:r w:rsidR="00B4233A">
        <w:t>würden (</w:t>
      </w:r>
      <w:r w:rsidR="00772C9E">
        <w:t>hoh</w:t>
      </w:r>
      <w:r w:rsidR="00DB7221">
        <w:t xml:space="preserve">e </w:t>
      </w:r>
      <w:proofErr w:type="spellStart"/>
      <w:r w:rsidR="00DB7221">
        <w:t>recovery</w:t>
      </w:r>
      <w:proofErr w:type="spellEnd"/>
      <w:r w:rsidR="00DB7221">
        <w:t xml:space="preserve"> rate Gamma</w:t>
      </w:r>
      <w:r w:rsidR="00772C9E">
        <w:t>)</w:t>
      </w:r>
      <w:r w:rsidR="0089345E">
        <w:t>,</w:t>
      </w:r>
      <w:r w:rsidR="00772C9E">
        <w:t xml:space="preserve"> würden Sie bei einer hohen Transmissionsrate auch in dieser Zeit weitere Leute anstecken. Die höhere </w:t>
      </w:r>
      <w:proofErr w:type="spellStart"/>
      <w:r w:rsidR="00DB7221">
        <w:t>Recovery</w:t>
      </w:r>
      <w:r w:rsidR="00772C9E">
        <w:t>rate</w:t>
      </w:r>
      <w:proofErr w:type="spellEnd"/>
      <w:r w:rsidR="00772C9E">
        <w:t xml:space="preserve"> führt dann nur dazu, dass die gesamte Pandemie schneller </w:t>
      </w:r>
      <w:r w:rsidR="0089345E">
        <w:t>vorüber</w:t>
      </w:r>
      <w:r w:rsidR="00772C9E">
        <w:t xml:space="preserve"> ist.</w:t>
      </w:r>
      <w:r w:rsidR="0089345E">
        <w:t xml:space="preserve"> Es werden zwar etwas weniger Leute angesteckt allerdings breitet sich die Pandemie trotzdem durch einen großen Teil der Bevölkerung aus.</w:t>
      </w:r>
      <w:r w:rsidR="00772C9E">
        <w:t xml:space="preserve"> Wie lange </w:t>
      </w:r>
      <w:r w:rsidR="0089345E">
        <w:t xml:space="preserve">es </w:t>
      </w:r>
      <w:r w:rsidR="00B4233A">
        <w:t>dauert,</w:t>
      </w:r>
      <w:r w:rsidR="0089345E">
        <w:t xml:space="preserve"> bis eine infizierte Person auch ansteckend ist spielt insgesamt in der Betrachtung der Anzahl der </w:t>
      </w:r>
      <w:r w:rsidR="00B4233A">
        <w:t>kumulativ</w:t>
      </w:r>
      <w:r w:rsidR="0089345E">
        <w:t xml:space="preserve"> Infizierten kaum eine Rolle. Auch</w:t>
      </w:r>
      <w:r w:rsidR="00772C9E">
        <w:t xml:space="preserve"> </w:t>
      </w:r>
      <w:r w:rsidR="0089345E">
        <w:t xml:space="preserve">wie viele Menschen zu Beginn infiziert sind spielt eigentlich keine Rolle. Dieser Wert legt nur fest ab welchem Zeitpunkt der Pandemie diese modelliert wird. Jede Pandemie startet </w:t>
      </w:r>
      <w:r w:rsidR="0089345E">
        <w:lastRenderedPageBreak/>
        <w:t xml:space="preserve">irgendwann mit einem </w:t>
      </w:r>
      <w:r w:rsidR="00B4233A">
        <w:t>Infizierten,</w:t>
      </w:r>
      <w:r w:rsidR="0089345E">
        <w:t xml:space="preserve"> d.h. ein I_0 &gt; 1 führt nur dazu, dass der vorhergegangene Verlauf nicht betrachtet wird.</w:t>
      </w:r>
    </w:p>
    <w:p w14:paraId="4F06D191" w14:textId="1F203A14" w:rsidR="0089345E" w:rsidRDefault="0089345E" w:rsidP="00EF7424">
      <w:r>
        <w:t xml:space="preserve">Um zu </w:t>
      </w:r>
      <w:r w:rsidR="00B4233A">
        <w:t>quantifizieren,</w:t>
      </w:r>
      <w:r>
        <w:t xml:space="preserve"> wie groß der gegenseitige Einfluss der Parameter aufeinander ist, wird die Definition der first-order und total-</w:t>
      </w:r>
      <w:proofErr w:type="spellStart"/>
      <w:r>
        <w:t>effect</w:t>
      </w:r>
      <w:proofErr w:type="spellEnd"/>
      <w:r>
        <w:t xml:space="preserve"> Indizes benötigt. Während first-order Indizes </w:t>
      </w:r>
      <w:r w:rsidR="00B4233A">
        <w:t>nur additive Effekte und damit keine Einflüsse auf andere Parameter bestimmen, messen die total-</w:t>
      </w:r>
      <w:proofErr w:type="spellStart"/>
      <w:r w:rsidR="00B4233A">
        <w:t>effect</w:t>
      </w:r>
      <w:proofErr w:type="spellEnd"/>
      <w:r w:rsidR="00B4233A">
        <w:t>-indices auch die gegenseitigen Einflüsse. Da sich die First-order-Indizes stets zu 1 aufsummieren, kann der Teil der Summe der total-</w:t>
      </w:r>
      <w:proofErr w:type="spellStart"/>
      <w:r w:rsidR="00B4233A">
        <w:t>effect</w:t>
      </w:r>
      <w:proofErr w:type="spellEnd"/>
      <w:r w:rsidR="00B4233A">
        <w:t xml:space="preserve">-indices der über 1 liegt als der Teil betrachtet werden, der durch die gegenseitigen Einflüsse der Variablen aufeinander zustande kommt. Für den Fall der kumulativ Infizierten beträgt die Summe der Total-Effekt-Indizes </w:t>
      </w:r>
      <w:proofErr w:type="gramStart"/>
      <w:r w:rsidR="00B4233A">
        <w:t>1.142 .</w:t>
      </w:r>
      <w:proofErr w:type="gramEnd"/>
      <w:r w:rsidR="00B4233A">
        <w:t xml:space="preserve"> Das bedeutet, dass die gegenseitigen Wechselwirkungen der Parameter aufeinander mit 0.142 quantifiziert werden können. Durch diese Betrachtungsweise waren keine weiteren Modell- oder Sobol-Indexberechnungen nötig. </w:t>
      </w:r>
    </w:p>
    <w:p w14:paraId="4398FAA1" w14:textId="25DD0CA8" w:rsidR="00502CA8" w:rsidRDefault="00502CA8" w:rsidP="00EF7424"/>
    <w:p w14:paraId="2C3B3CE2" w14:textId="779B7840" w:rsidR="0089345E" w:rsidRDefault="0089345E" w:rsidP="00EF7424"/>
    <w:p w14:paraId="023E8B4F" w14:textId="4258D450" w:rsidR="0089345E" w:rsidRPr="00253F49" w:rsidRDefault="0089345E" w:rsidP="00253F49">
      <w:pPr>
        <w:jc w:val="center"/>
        <w:rPr>
          <w:u w:val="single"/>
        </w:rPr>
      </w:pPr>
      <w:r w:rsidRPr="00253F49">
        <w:rPr>
          <w:u w:val="single"/>
        </w:rPr>
        <w:t>Vergleich</w:t>
      </w:r>
      <w:r w:rsidR="008D7682" w:rsidRPr="00253F49">
        <w:rPr>
          <w:u w:val="single"/>
        </w:rPr>
        <w:t xml:space="preserve"> Woche mit maximaler Anzahl Infizierter (QoI2)</w:t>
      </w:r>
      <w:r w:rsidRPr="00253F49">
        <w:rPr>
          <w:u w:val="single"/>
        </w:rPr>
        <w:t>:</w:t>
      </w:r>
    </w:p>
    <w:p w14:paraId="4D204B00" w14:textId="6AEA2BA5" w:rsidR="008D7682" w:rsidRDefault="008D7682" w:rsidP="0089345E"/>
    <w:p w14:paraId="62B89559" w14:textId="2BE2DD7E" w:rsidR="008D7682" w:rsidRDefault="008D7682" w:rsidP="008D7682">
      <w:pPr>
        <w:keepNext/>
      </w:pPr>
      <w:r>
        <w:rPr>
          <w:noProof/>
        </w:rPr>
        <w:drawing>
          <wp:anchor distT="0" distB="0" distL="114300" distR="114300" simplePos="0" relativeHeight="251661312" behindDoc="0" locked="0" layoutInCell="1" allowOverlap="1" wp14:anchorId="2CC875A7" wp14:editId="75F98011">
            <wp:simplePos x="0" y="0"/>
            <wp:positionH relativeFrom="column">
              <wp:posOffset>2672080</wp:posOffset>
            </wp:positionH>
            <wp:positionV relativeFrom="paragraph">
              <wp:posOffset>264160</wp:posOffset>
            </wp:positionV>
            <wp:extent cx="2657475" cy="1776095"/>
            <wp:effectExtent l="0" t="0" r="952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7475" cy="1776095"/>
                    </a:xfrm>
                    <a:prstGeom prst="rect">
                      <a:avLst/>
                    </a:prstGeom>
                  </pic:spPr>
                </pic:pic>
              </a:graphicData>
            </a:graphic>
          </wp:anchor>
        </w:drawing>
      </w:r>
      <w:r>
        <w:rPr>
          <w:noProof/>
        </w:rPr>
        <w:drawing>
          <wp:inline distT="0" distB="0" distL="0" distR="0" wp14:anchorId="76B8AEF6" wp14:editId="1013FF77">
            <wp:extent cx="3000375" cy="1961521"/>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596" cy="1964934"/>
                    </a:xfrm>
                    <a:prstGeom prst="rect">
                      <a:avLst/>
                    </a:prstGeom>
                    <a:noFill/>
                    <a:ln>
                      <a:noFill/>
                    </a:ln>
                  </pic:spPr>
                </pic:pic>
              </a:graphicData>
            </a:graphic>
          </wp:inline>
        </w:drawing>
      </w:r>
    </w:p>
    <w:p w14:paraId="18135EA7" w14:textId="7D013762" w:rsidR="008D7682" w:rsidRDefault="008D7682" w:rsidP="008D7682">
      <w:pPr>
        <w:pStyle w:val="Beschriftung"/>
      </w:pPr>
      <w:r>
        <w:rPr>
          <w:noProof/>
        </w:rPr>
        <mc:AlternateContent>
          <mc:Choice Requires="wps">
            <w:drawing>
              <wp:anchor distT="0" distB="0" distL="114300" distR="114300" simplePos="0" relativeHeight="251663360" behindDoc="0" locked="0" layoutInCell="1" allowOverlap="1" wp14:anchorId="125206E8" wp14:editId="332AFA15">
                <wp:simplePos x="0" y="0"/>
                <wp:positionH relativeFrom="column">
                  <wp:posOffset>2719705</wp:posOffset>
                </wp:positionH>
                <wp:positionV relativeFrom="paragraph">
                  <wp:posOffset>11430</wp:posOffset>
                </wp:positionV>
                <wp:extent cx="2657475" cy="63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39EB02D3" w14:textId="36F43ED1" w:rsidR="008D7682" w:rsidRPr="00333DA2" w:rsidRDefault="008D7682" w:rsidP="008D7682">
                            <w:pPr>
                              <w:pStyle w:val="Beschriftung"/>
                              <w:rPr>
                                <w:noProof/>
                                <w:sz w:val="24"/>
                                <w:szCs w:val="24"/>
                              </w:rPr>
                            </w:pPr>
                            <w:r>
                              <w:t xml:space="preserve"> PRCCs für QoI2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206E8" id="Textfeld 13" o:spid="_x0000_s1027" type="#_x0000_t202" style="position:absolute;margin-left:214.15pt;margin-top:.9pt;width:209.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ytLwIAAGYEAAAOAAAAZHJzL2Uyb0RvYy54bWysVFFv2yAQfp+0/4B4X5ykSzpZ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" stroked="f">
                <v:textbox style="mso-fit-shape-to-text:t" inset="0,0,0,0">
                  <w:txbxContent>
                    <w:p w14:paraId="39EB02D3" w14:textId="36F43ED1" w:rsidR="008D7682" w:rsidRPr="00333DA2" w:rsidRDefault="008D7682" w:rsidP="008D7682">
                      <w:pPr>
                        <w:pStyle w:val="Beschriftung"/>
                        <w:rPr>
                          <w:noProof/>
                          <w:sz w:val="24"/>
                          <w:szCs w:val="24"/>
                        </w:rPr>
                      </w:pPr>
                      <w:r>
                        <w:t xml:space="preserve"> PRCCs für QoI2</w:t>
                      </w:r>
                    </w:p>
                  </w:txbxContent>
                </v:textbox>
              </v:shape>
            </w:pict>
          </mc:Fallback>
        </mc:AlternateContent>
      </w:r>
      <w:r>
        <w:t>Abbildung 2: Sobol-Total-Effekt-Indizes für QoI2</w:t>
      </w:r>
    </w:p>
    <w:p w14:paraId="7DBFD601" w14:textId="5F042DF0" w:rsidR="00CA5F8C" w:rsidRDefault="00B4233A" w:rsidP="00EF7424">
      <w:r>
        <w:t xml:space="preserve">Auch bei der Betrachtung in welcher Woche die meisten Infektionen auftreten, fällt der Parameter Beta durch seinen hohen (negativen) PRCC als auch durch den hohen Sobol-Index (0.84) auf. Auch für diese </w:t>
      </w:r>
      <w:proofErr w:type="spellStart"/>
      <w:r>
        <w:t>QoI</w:t>
      </w:r>
      <w:proofErr w:type="spellEnd"/>
      <w:r>
        <w:t xml:space="preserve"> ist also die Transmissionsrate entscheidend. Der Unterschied zur Betrachtung der Kumulativ Infizierten liegt darin, dass ein höheres Beta hier zu einem geringeren Ergebnis, also einer früheren Woche, führt. </w:t>
      </w:r>
      <w:r w:rsidR="00CA5F8C">
        <w:t xml:space="preserve">Je ansteckender die Krankheit ist, desto schneller ist auch der Punkt erreicht, ab dem die Zahl der Neuinfektionen wieder </w:t>
      </w:r>
      <w:r w:rsidR="00253F49">
        <w:t>abflacht,</w:t>
      </w:r>
      <w:r w:rsidR="00CA5F8C">
        <w:t xml:space="preserve"> da bereits ein Teil der Population genesen und damit immun ist. Den Gegenteiligen Effekt hat </w:t>
      </w:r>
      <w:proofErr w:type="gramStart"/>
      <w:r w:rsidR="00CA5F8C">
        <w:t>eine schnellere Genesung</w:t>
      </w:r>
      <w:proofErr w:type="gramEnd"/>
      <w:r w:rsidR="00CA5F8C">
        <w:t xml:space="preserve"> wodurch es länger </w:t>
      </w:r>
      <w:r w:rsidR="00253F49">
        <w:t>dauert,</w:t>
      </w:r>
      <w:r w:rsidR="00CA5F8C">
        <w:t xml:space="preserve"> bis genug Personen infiziert waren und die Zahl der Infektionen rückläufig ist. Dies erkennt man auch am PRCC für Gamma. Höhere Gammas führen zu einer späteren Woche mit maximal Infizierten. Die Analyse des Sobol Index verrät jedoch, dass dieser Effekt weit weniger </w:t>
      </w:r>
      <w:r w:rsidR="00253F49">
        <w:t>zum Tragen</w:t>
      </w:r>
      <w:r w:rsidR="00CA5F8C">
        <w:t xml:space="preserve"> kommt als der vorher genannte Effekt durch eine Veränderung von Beta. Es ist außerdem zu erkennen, dass in diesem Fall sogar Alpha denselben Einfluss auf die Woche maximal infizierter ausübt wie Gamma. In diesem Fall führt ein höheres Alpha ebenfalls dazu, dass die Woche mit den maximal infizierten früher erreicht wird. Ein geringeres Alpha trägt ebenso dazu bei, dass sich die Krankheit schneller ausbreitet, wodurch auch wieder der </w:t>
      </w:r>
      <w:r w:rsidR="00253F49">
        <w:t>Punkt,</w:t>
      </w:r>
      <w:r w:rsidR="00CA5F8C">
        <w:t xml:space="preserve"> ab dem die Neuinfektionen abflachen schneller erreicht wird. Der Parameter I_0 ist auch für diese </w:t>
      </w:r>
      <w:proofErr w:type="spellStart"/>
      <w:r w:rsidR="00CA5F8C">
        <w:t>QoI</w:t>
      </w:r>
      <w:proofErr w:type="spellEnd"/>
      <w:r w:rsidR="00CA5F8C">
        <w:t xml:space="preserve"> ohne große Bedeutung. Eine Veränderung von I_0 hat praktisch keinen Einfluss auf die Woche der Peak-Infektionen.</w:t>
      </w:r>
    </w:p>
    <w:p w14:paraId="5534C505" w14:textId="4FA750C9" w:rsidR="008D4167" w:rsidRDefault="00CA5F8C" w:rsidP="00EF7424">
      <w:r>
        <w:lastRenderedPageBreak/>
        <w:t>Die Summe aller Sobol-Total-Effekt-Indizes ist 1.103. Die gegenseitigen Einflüsse der Parameter untereinander lassen sich somit auf 0.103 quantifizieren und sind damit geringer als bei der Untersuchung der kumulativ Infizierten.</w:t>
      </w:r>
    </w:p>
    <w:sectPr w:rsidR="008D41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21C9"/>
    <w:multiLevelType w:val="hybridMultilevel"/>
    <w:tmpl w:val="6032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30"/>
    <w:rsid w:val="0004156E"/>
    <w:rsid w:val="000C5475"/>
    <w:rsid w:val="00123966"/>
    <w:rsid w:val="001A468A"/>
    <w:rsid w:val="001B6275"/>
    <w:rsid w:val="00253F49"/>
    <w:rsid w:val="002A172D"/>
    <w:rsid w:val="002A7030"/>
    <w:rsid w:val="002D715D"/>
    <w:rsid w:val="002E6EF0"/>
    <w:rsid w:val="00351217"/>
    <w:rsid w:val="00384FAB"/>
    <w:rsid w:val="003A00F0"/>
    <w:rsid w:val="004155F6"/>
    <w:rsid w:val="004F5D4A"/>
    <w:rsid w:val="00502CA8"/>
    <w:rsid w:val="005400E3"/>
    <w:rsid w:val="00555C97"/>
    <w:rsid w:val="00596736"/>
    <w:rsid w:val="005C1004"/>
    <w:rsid w:val="005E08D9"/>
    <w:rsid w:val="00625BD4"/>
    <w:rsid w:val="00641987"/>
    <w:rsid w:val="006F712E"/>
    <w:rsid w:val="00772C9E"/>
    <w:rsid w:val="008076B0"/>
    <w:rsid w:val="00807826"/>
    <w:rsid w:val="0081147A"/>
    <w:rsid w:val="00861B3A"/>
    <w:rsid w:val="0089345E"/>
    <w:rsid w:val="008B668D"/>
    <w:rsid w:val="008D4167"/>
    <w:rsid w:val="008D7682"/>
    <w:rsid w:val="00A852C2"/>
    <w:rsid w:val="00B4233A"/>
    <w:rsid w:val="00B80BDC"/>
    <w:rsid w:val="00BE077C"/>
    <w:rsid w:val="00C67959"/>
    <w:rsid w:val="00C85A3A"/>
    <w:rsid w:val="00C94AF4"/>
    <w:rsid w:val="00CA5F8C"/>
    <w:rsid w:val="00DA5B61"/>
    <w:rsid w:val="00DB7221"/>
    <w:rsid w:val="00E019FE"/>
    <w:rsid w:val="00E57933"/>
    <w:rsid w:val="00EF5F7B"/>
    <w:rsid w:val="00EF7424"/>
    <w:rsid w:val="00F2369A"/>
    <w:rsid w:val="00FD586E"/>
    <w:rsid w:val="00FE3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E5F0"/>
  <w15:chartTrackingRefBased/>
  <w15:docId w15:val="{A5E1319B-E2C2-8E4D-894F-2B00A2EB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3F49"/>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4472C4" w:themeColor="accent1"/>
      <w:sz w:val="40"/>
      <w:szCs w:val="32"/>
      <w:lang w:eastAsia="ja-JP" w:bidi="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5F7B"/>
    <w:pPr>
      <w:ind w:left="720"/>
      <w:contextualSpacing/>
    </w:pPr>
  </w:style>
  <w:style w:type="character" w:styleId="HTMLCode">
    <w:name w:val="HTML Code"/>
    <w:basedOn w:val="Absatz-Standardschriftart"/>
    <w:uiPriority w:val="99"/>
    <w:semiHidden/>
    <w:unhideWhenUsed/>
    <w:rsid w:val="001B6275"/>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8D7682"/>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253F49"/>
    <w:rPr>
      <w:rFonts w:asciiTheme="majorHAnsi" w:eastAsiaTheme="majorEastAsia" w:hAnsiTheme="majorHAnsi" w:cstheme="majorBidi"/>
      <w:color w:val="4472C4" w:themeColor="accent1"/>
      <w:sz w:val="40"/>
      <w:szCs w:val="32"/>
      <w:lang w:eastAsia="ja-JP"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409C-B2C6-BB4F-AA45-6C802AB6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2070</Words>
  <Characters>13048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fbernhar</dc:creator>
  <cp:keywords/>
  <dc:description/>
  <cp:lastModifiedBy>schroepp</cp:lastModifiedBy>
  <cp:revision>25</cp:revision>
  <dcterms:created xsi:type="dcterms:W3CDTF">2021-06-25T13:37:00Z</dcterms:created>
  <dcterms:modified xsi:type="dcterms:W3CDTF">2021-06-28T07:34:00Z</dcterms:modified>
</cp:coreProperties>
</file>