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276D3" w14:textId="77777777" w:rsidR="00084578" w:rsidRDefault="00000000">
      <w:r>
        <w:br/>
      </w:r>
    </w:p>
    <w:p w14:paraId="54953DFD" w14:textId="77777777" w:rsidR="00084578" w:rsidRDefault="00000000">
      <w:pPr>
        <w:pStyle w:val="Ttulo"/>
        <w:jc w:val="center"/>
      </w:pPr>
      <w:r>
        <w:t>SISTEMA PREDITIVO DE RISCO DE CRÉDITO</w:t>
      </w:r>
    </w:p>
    <w:p w14:paraId="7C77FBBB" w14:textId="77777777" w:rsidR="00084578" w:rsidRDefault="00000000">
      <w:pPr>
        <w:pStyle w:val="Ttulo1"/>
        <w:jc w:val="center"/>
      </w:pPr>
      <w:r>
        <w:t>Uma Abordagem de MLOps para Gestão de Inadimplência em Produção</w:t>
      </w:r>
    </w:p>
    <w:p w14:paraId="2201398F" w14:textId="77777777" w:rsidR="00084578" w:rsidRDefault="00000000">
      <w:r>
        <w:br/>
      </w:r>
      <w:r>
        <w:br/>
      </w:r>
      <w:r>
        <w:br/>
      </w:r>
      <w:r>
        <w:br/>
      </w:r>
    </w:p>
    <w:p w14:paraId="2409E9E9" w14:textId="77777777" w:rsidR="00084578" w:rsidRDefault="00000000">
      <w:pPr>
        <w:jc w:val="center"/>
      </w:pPr>
      <w:r>
        <w:rPr>
          <w:b/>
          <w:sz w:val="28"/>
        </w:rPr>
        <w:t>Francisco Bruno Lopes Grangeiro</w:t>
      </w:r>
    </w:p>
    <w:p w14:paraId="2B5F43A5" w14:textId="77777777" w:rsidR="00084578" w:rsidRDefault="00000000">
      <w:r>
        <w:br/>
      </w:r>
      <w:r>
        <w:br/>
      </w:r>
    </w:p>
    <w:p w14:paraId="25A77999" w14:textId="77777777" w:rsidR="00955351" w:rsidRPr="00955351" w:rsidRDefault="00955351" w:rsidP="00955351">
      <w:pPr>
        <w:jc w:val="center"/>
        <w:rPr>
          <w:b/>
          <w:bCs/>
          <w:lang w:val="pt-BR"/>
        </w:rPr>
      </w:pPr>
      <w:r>
        <w:t>PDI</w:t>
      </w:r>
      <w:r w:rsidR="00000000">
        <w:br/>
      </w:r>
      <w:r w:rsidRPr="00955351">
        <w:rPr>
          <w:b/>
          <w:bCs/>
          <w:lang w:val="pt-BR"/>
        </w:rPr>
        <w:t xml:space="preserve">Machine Learning com </w:t>
      </w:r>
      <w:proofErr w:type="spellStart"/>
      <w:r w:rsidRPr="00955351">
        <w:rPr>
          <w:b/>
          <w:bCs/>
          <w:lang w:val="pt-BR"/>
        </w:rPr>
        <w:t>Scikit-Learn</w:t>
      </w:r>
      <w:proofErr w:type="spellEnd"/>
      <w:r w:rsidRPr="00955351">
        <w:rPr>
          <w:b/>
          <w:bCs/>
          <w:lang w:val="pt-BR"/>
        </w:rPr>
        <w:t xml:space="preserve"> e </w:t>
      </w:r>
      <w:proofErr w:type="spellStart"/>
      <w:r w:rsidRPr="00955351">
        <w:rPr>
          <w:b/>
          <w:bCs/>
          <w:lang w:val="pt-BR"/>
        </w:rPr>
        <w:t>MLOps</w:t>
      </w:r>
      <w:proofErr w:type="spellEnd"/>
    </w:p>
    <w:p w14:paraId="467D42E4" w14:textId="77777777" w:rsidR="00955351" w:rsidRDefault="00000000" w:rsidP="00955351">
      <w:pPr>
        <w:jc w:val="center"/>
      </w:pPr>
      <w:r>
        <w:br/>
      </w:r>
      <w:r>
        <w:br/>
      </w:r>
      <w:r>
        <w:br/>
      </w:r>
    </w:p>
    <w:p w14:paraId="0350958B" w14:textId="77777777" w:rsidR="00955351" w:rsidRDefault="00955351" w:rsidP="00955351">
      <w:pPr>
        <w:jc w:val="center"/>
      </w:pPr>
    </w:p>
    <w:p w14:paraId="31EFBE4F" w14:textId="77777777" w:rsidR="00955351" w:rsidRDefault="00955351" w:rsidP="00955351">
      <w:pPr>
        <w:jc w:val="center"/>
      </w:pPr>
    </w:p>
    <w:p w14:paraId="6B3C0872" w14:textId="45859D48" w:rsidR="00084578" w:rsidRDefault="00000000" w:rsidP="00955351">
      <w:pPr>
        <w:jc w:val="center"/>
      </w:pPr>
      <w:r>
        <w:br/>
      </w:r>
      <w:r>
        <w:br/>
      </w:r>
    </w:p>
    <w:p w14:paraId="791CF49F" w14:textId="77777777" w:rsidR="00084578" w:rsidRDefault="00000000">
      <w:pPr>
        <w:jc w:val="center"/>
      </w:pPr>
      <w:r>
        <w:t>Abril de 2026</w:t>
      </w:r>
    </w:p>
    <w:p w14:paraId="66E18334" w14:textId="77777777" w:rsidR="00084578" w:rsidRDefault="00000000">
      <w:r>
        <w:br w:type="page"/>
      </w:r>
    </w:p>
    <w:p w14:paraId="74733D13" w14:textId="77777777" w:rsidR="00084578" w:rsidRDefault="00000000">
      <w:pPr>
        <w:pStyle w:val="Ttulo1"/>
      </w:pPr>
      <w:r>
        <w:lastRenderedPageBreak/>
        <w:t>Resumo</w:t>
      </w:r>
    </w:p>
    <w:p w14:paraId="03FB0448" w14:textId="77777777" w:rsidR="00084578" w:rsidRDefault="00000000">
      <w:r>
        <w:t>Este projeto de pós-graduação apresenta a concepção e implementação de um framework preditivo de inadimplência de cartões de crédito sob o paradigma de MLOps. A pesquisa aborda o ciclo de vida completo do modelo, desde o tratamento de dados desbalanceados até a implementação de interfaces analíticas e monitoramento de saúde do modelo. Os resultados demonstram que a aplicação de ensembles do tipo Random Forest, integrada a ferramentas de governança como MLflow, oferece o equilíbrio necessário entre poder discriminatório (AUC-ROC 0.76) e robustez operacional.</w:t>
      </w:r>
    </w:p>
    <w:p w14:paraId="4FDFF3BB" w14:textId="77777777" w:rsidR="00084578" w:rsidRDefault="00000000">
      <w:r>
        <w:t>Palavras-chave: Credit Scoring, Machine Learning, MLOps, Streamlit, Governança de Modelos.</w:t>
      </w:r>
    </w:p>
    <w:p w14:paraId="5D9621E7" w14:textId="77777777" w:rsidR="00084578" w:rsidRDefault="00000000">
      <w:r>
        <w:br w:type="page"/>
      </w:r>
    </w:p>
    <w:p w14:paraId="639F7402" w14:textId="77777777" w:rsidR="00084578" w:rsidRDefault="00000000">
      <w:pPr>
        <w:pStyle w:val="Ttulo1"/>
      </w:pPr>
      <w:r>
        <w:lastRenderedPageBreak/>
        <w:t>1. Introdução</w:t>
      </w:r>
    </w:p>
    <w:p w14:paraId="77324970" w14:textId="77777777" w:rsidR="00084578" w:rsidRDefault="00000000">
      <w:r>
        <w:t>A gestão do risco de crédito é um dos pilares da estabilidade financeira em instituições bancárias. Com o advento de grandes volumes de dados, a transição de modelos estatísticos tradicionais para algoritmos de Machine Learning permitiu uma análise mais granular do comportamento do consumidor. Contudo, o desafio contemporâneo reside na "produtização" desses modelos: garantir que eles permaneçam acurados e escaláveis em ambientes de produção.</w:t>
      </w:r>
    </w:p>
    <w:p w14:paraId="5F385049" w14:textId="77777777" w:rsidR="00084578" w:rsidRDefault="00000000">
      <w:r>
        <w:t>Este trabalho propõe uma solução que integra engenharia de software e ciência de dados para criar um sistema auditável e responsivo, atendendo a critérios rigorosos de conformidade e performance técnica.</w:t>
      </w:r>
    </w:p>
    <w:p w14:paraId="0E6CF171" w14:textId="77777777" w:rsidR="00084578" w:rsidRDefault="00000000">
      <w:pPr>
        <w:pStyle w:val="Ttulo1"/>
      </w:pPr>
      <w:r>
        <w:t>2. Arquitetura de MLOps e Decisões de Engenharia</w:t>
      </w:r>
    </w:p>
    <w:p w14:paraId="04772544" w14:textId="77777777" w:rsidR="00084578" w:rsidRDefault="00000000">
      <w:r>
        <w:t>A arquitetura foi estruturada para mitigar o débito técnico comum em projetos de ML. Adotou-se o princípio da separação de preocupações (Separation of Concerns), segmentando o pipeline em componentes desacoplados.</w:t>
      </w:r>
    </w:p>
    <w:p w14:paraId="69DD516E" w14:textId="77777777" w:rsidR="00084578" w:rsidRDefault="00000000">
      <w:pPr>
        <w:pStyle w:val="Ttulo2"/>
      </w:pPr>
      <w:r>
        <w:t>2.1. Pipeline de Engenharia de Dados e Features</w:t>
      </w:r>
    </w:p>
    <w:p w14:paraId="6A89DDD9" w14:textId="77777777" w:rsidR="00084578" w:rsidRDefault="00000000">
      <w:r>
        <w:t>Utilizando o dataset UCI "Default of Credit Card Clients", implementou-se um pipeline robusto (src/data_pipeline.py) que realiza o pré-processamento, incluindo tratamento de valores ausentes, codificação de variáveis categóricas e normalização de variáveis financeiras via StandardScaler, prevenindo o vazamento de dados (data leakage) através de validação cruzada estratificada.</w:t>
      </w:r>
    </w:p>
    <w:p w14:paraId="4610B575" w14:textId="77777777" w:rsidR="00084578" w:rsidRDefault="00000000">
      <w:pPr>
        <w:pStyle w:val="Ttulo2"/>
      </w:pPr>
      <w:r>
        <w:t>2.2. Governança e Rastreabilidade com MLflow</w:t>
      </w:r>
    </w:p>
    <w:p w14:paraId="0A0E2B5D" w14:textId="77777777" w:rsidR="00084578" w:rsidRDefault="00000000">
      <w:r>
        <w:t>A governança é assegurada pelo MLflow, que atua como repositório centralizado de metadados. Foram registrados:</w:t>
      </w:r>
    </w:p>
    <w:p w14:paraId="5CA24ACD" w14:textId="77777777" w:rsidR="00084578" w:rsidRDefault="00000000">
      <w:pPr>
        <w:pStyle w:val="Commarcadores"/>
      </w:pPr>
      <w:r>
        <w:rPr>
          <w:b/>
        </w:rPr>
        <w:t xml:space="preserve">Linhagem de Dados: </w:t>
      </w:r>
      <w:r>
        <w:t>Versão do dataset utilizada em cada ciclo.</w:t>
      </w:r>
    </w:p>
    <w:p w14:paraId="591C8744" w14:textId="77777777" w:rsidR="00084578" w:rsidRDefault="00000000">
      <w:pPr>
        <w:pStyle w:val="Commarcadores"/>
      </w:pPr>
      <w:r>
        <w:rPr>
          <w:b/>
        </w:rPr>
        <w:t xml:space="preserve">Hiperparâmetros: </w:t>
      </w:r>
      <w:r>
        <w:t>Configurações específicas como n_estimators e max_depth.</w:t>
      </w:r>
    </w:p>
    <w:p w14:paraId="367E3204" w14:textId="77777777" w:rsidR="00084578" w:rsidRDefault="00000000">
      <w:pPr>
        <w:pStyle w:val="Commarcadores"/>
      </w:pPr>
      <w:r>
        <w:rPr>
          <w:b/>
        </w:rPr>
        <w:t xml:space="preserve">Artefatos de Serialização: </w:t>
      </w:r>
      <w:r>
        <w:t>Modelos em formato pickle prontos para deploy.</w:t>
      </w:r>
    </w:p>
    <w:p w14:paraId="22519607" w14:textId="77777777" w:rsidR="00084578" w:rsidRDefault="00000000">
      <w:pPr>
        <w:pStyle w:val="Ttulo1"/>
      </w:pPr>
      <w:r>
        <w:t>3. Análise Experimental e Avaliação de Performance</w:t>
      </w:r>
    </w:p>
    <w:p w14:paraId="2EF54477" w14:textId="77777777" w:rsidR="00084578" w:rsidRDefault="00000000">
      <w:r>
        <w:t>Foram submetidos quatro algoritmos de diferentes complexidades a uma análise comparativa rigorosa. Em problemas de risco de crédito, a métrica de acurácia é frequentemente enganosa devido ao desbalanceamento das classes (78% vs 22%). Portanto, priorizou-se o ROC-AUC como indicador primário de separabilidade.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84578" w14:paraId="11BBB405" w14:textId="77777777">
        <w:tc>
          <w:tcPr>
            <w:tcW w:w="1728" w:type="dxa"/>
          </w:tcPr>
          <w:p w14:paraId="12504C5F" w14:textId="77777777" w:rsidR="00084578" w:rsidRDefault="00000000">
            <w:r>
              <w:t>Algoritmo</w:t>
            </w:r>
          </w:p>
        </w:tc>
        <w:tc>
          <w:tcPr>
            <w:tcW w:w="1728" w:type="dxa"/>
          </w:tcPr>
          <w:p w14:paraId="2D8E8266" w14:textId="77777777" w:rsidR="00084578" w:rsidRDefault="00000000">
            <w:r>
              <w:t>Acurácia</w:t>
            </w:r>
          </w:p>
        </w:tc>
        <w:tc>
          <w:tcPr>
            <w:tcW w:w="1728" w:type="dxa"/>
          </w:tcPr>
          <w:p w14:paraId="4F2D4B23" w14:textId="77777777" w:rsidR="00084578" w:rsidRDefault="00000000">
            <w:r>
              <w:t>Precisão</w:t>
            </w:r>
          </w:p>
        </w:tc>
        <w:tc>
          <w:tcPr>
            <w:tcW w:w="1728" w:type="dxa"/>
          </w:tcPr>
          <w:p w14:paraId="17A84D84" w14:textId="77777777" w:rsidR="00084578" w:rsidRDefault="00000000">
            <w:r>
              <w:t>Recall</w:t>
            </w:r>
          </w:p>
        </w:tc>
        <w:tc>
          <w:tcPr>
            <w:tcW w:w="1728" w:type="dxa"/>
          </w:tcPr>
          <w:p w14:paraId="2EB28597" w14:textId="77777777" w:rsidR="00084578" w:rsidRDefault="00000000">
            <w:r>
              <w:t>ROC-AUC</w:t>
            </w:r>
          </w:p>
        </w:tc>
      </w:tr>
      <w:tr w:rsidR="00084578" w14:paraId="3A875BF8" w14:textId="77777777">
        <w:tc>
          <w:tcPr>
            <w:tcW w:w="1728" w:type="dxa"/>
          </w:tcPr>
          <w:p w14:paraId="68F5E633" w14:textId="77777777" w:rsidR="00084578" w:rsidRDefault="00000000">
            <w:r>
              <w:t>Perceptron</w:t>
            </w:r>
          </w:p>
        </w:tc>
        <w:tc>
          <w:tcPr>
            <w:tcW w:w="1728" w:type="dxa"/>
          </w:tcPr>
          <w:p w14:paraId="3C8D302F" w14:textId="77777777" w:rsidR="00084578" w:rsidRDefault="00000000">
            <w:r>
              <w:t>0.677</w:t>
            </w:r>
          </w:p>
        </w:tc>
        <w:tc>
          <w:tcPr>
            <w:tcW w:w="1728" w:type="dxa"/>
          </w:tcPr>
          <w:p w14:paraId="0F7E4601" w14:textId="77777777" w:rsidR="00084578" w:rsidRDefault="00000000">
            <w:r>
              <w:t>0.351</w:t>
            </w:r>
          </w:p>
        </w:tc>
        <w:tc>
          <w:tcPr>
            <w:tcW w:w="1728" w:type="dxa"/>
          </w:tcPr>
          <w:p w14:paraId="7A50606A" w14:textId="77777777" w:rsidR="00084578" w:rsidRDefault="00000000">
            <w:r>
              <w:t>0.538</w:t>
            </w:r>
          </w:p>
        </w:tc>
        <w:tc>
          <w:tcPr>
            <w:tcW w:w="1728" w:type="dxa"/>
          </w:tcPr>
          <w:p w14:paraId="788FAA5B" w14:textId="77777777" w:rsidR="00084578" w:rsidRDefault="00000000">
            <w:r>
              <w:t>0.628</w:t>
            </w:r>
          </w:p>
        </w:tc>
      </w:tr>
      <w:tr w:rsidR="00084578" w14:paraId="16132BF3" w14:textId="77777777">
        <w:tc>
          <w:tcPr>
            <w:tcW w:w="1728" w:type="dxa"/>
          </w:tcPr>
          <w:p w14:paraId="75E01D1F" w14:textId="77777777" w:rsidR="00084578" w:rsidRDefault="00000000">
            <w:r>
              <w:t>Decision Tree</w:t>
            </w:r>
          </w:p>
        </w:tc>
        <w:tc>
          <w:tcPr>
            <w:tcW w:w="1728" w:type="dxa"/>
          </w:tcPr>
          <w:p w14:paraId="31CA1AE9" w14:textId="77777777" w:rsidR="00084578" w:rsidRDefault="00000000">
            <w:r>
              <w:t>0.816</w:t>
            </w:r>
          </w:p>
        </w:tc>
        <w:tc>
          <w:tcPr>
            <w:tcW w:w="1728" w:type="dxa"/>
          </w:tcPr>
          <w:p w14:paraId="31771ECF" w14:textId="77777777" w:rsidR="00084578" w:rsidRDefault="00000000">
            <w:r>
              <w:t>0.666</w:t>
            </w:r>
          </w:p>
        </w:tc>
        <w:tc>
          <w:tcPr>
            <w:tcW w:w="1728" w:type="dxa"/>
          </w:tcPr>
          <w:p w14:paraId="41E5AD96" w14:textId="77777777" w:rsidR="00084578" w:rsidRDefault="00000000">
            <w:r>
              <w:t>0.341</w:t>
            </w:r>
          </w:p>
        </w:tc>
        <w:tc>
          <w:tcPr>
            <w:tcW w:w="1728" w:type="dxa"/>
          </w:tcPr>
          <w:p w14:paraId="23412AC9" w14:textId="77777777" w:rsidR="00084578" w:rsidRDefault="00000000">
            <w:r>
              <w:t>0.742</w:t>
            </w:r>
          </w:p>
        </w:tc>
      </w:tr>
      <w:tr w:rsidR="00084578" w14:paraId="3149C966" w14:textId="77777777">
        <w:tc>
          <w:tcPr>
            <w:tcW w:w="1728" w:type="dxa"/>
          </w:tcPr>
          <w:p w14:paraId="7889D554" w14:textId="77777777" w:rsidR="00084578" w:rsidRDefault="00000000">
            <w:r>
              <w:t>Random Forest</w:t>
            </w:r>
          </w:p>
        </w:tc>
        <w:tc>
          <w:tcPr>
            <w:tcW w:w="1728" w:type="dxa"/>
          </w:tcPr>
          <w:p w14:paraId="5AC9DF5D" w14:textId="77777777" w:rsidR="00084578" w:rsidRDefault="00000000">
            <w:r>
              <w:t>0.817</w:t>
            </w:r>
          </w:p>
        </w:tc>
        <w:tc>
          <w:tcPr>
            <w:tcW w:w="1728" w:type="dxa"/>
          </w:tcPr>
          <w:p w14:paraId="0D8AE9B3" w14:textId="77777777" w:rsidR="00084578" w:rsidRDefault="00000000">
            <w:r>
              <w:t>0.653</w:t>
            </w:r>
          </w:p>
        </w:tc>
        <w:tc>
          <w:tcPr>
            <w:tcW w:w="1728" w:type="dxa"/>
          </w:tcPr>
          <w:p w14:paraId="2534359F" w14:textId="77777777" w:rsidR="00084578" w:rsidRDefault="00000000">
            <w:r>
              <w:t>0.365</w:t>
            </w:r>
          </w:p>
        </w:tc>
        <w:tc>
          <w:tcPr>
            <w:tcW w:w="1728" w:type="dxa"/>
          </w:tcPr>
          <w:p w14:paraId="5EF9D413" w14:textId="77777777" w:rsidR="00084578" w:rsidRDefault="00000000">
            <w:r>
              <w:t>0.759</w:t>
            </w:r>
          </w:p>
        </w:tc>
      </w:tr>
      <w:tr w:rsidR="00084578" w14:paraId="76FDC7BD" w14:textId="77777777">
        <w:tc>
          <w:tcPr>
            <w:tcW w:w="1728" w:type="dxa"/>
          </w:tcPr>
          <w:p w14:paraId="76C0287D" w14:textId="77777777" w:rsidR="00084578" w:rsidRDefault="00000000">
            <w:r>
              <w:lastRenderedPageBreak/>
              <w:t>Logistic Reg.</w:t>
            </w:r>
          </w:p>
        </w:tc>
        <w:tc>
          <w:tcPr>
            <w:tcW w:w="1728" w:type="dxa"/>
          </w:tcPr>
          <w:p w14:paraId="44DE4CD4" w14:textId="77777777" w:rsidR="00084578" w:rsidRDefault="00000000">
            <w:r>
              <w:t>0.808</w:t>
            </w:r>
          </w:p>
        </w:tc>
        <w:tc>
          <w:tcPr>
            <w:tcW w:w="1728" w:type="dxa"/>
          </w:tcPr>
          <w:p w14:paraId="1F363FF4" w14:textId="77777777" w:rsidR="00084578" w:rsidRDefault="00000000">
            <w:r>
              <w:t>0.698</w:t>
            </w:r>
          </w:p>
        </w:tc>
        <w:tc>
          <w:tcPr>
            <w:tcW w:w="1728" w:type="dxa"/>
          </w:tcPr>
          <w:p w14:paraId="7F402C6F" w14:textId="77777777" w:rsidR="00084578" w:rsidRDefault="00000000">
            <w:r>
              <w:t>0.236</w:t>
            </w:r>
          </w:p>
        </w:tc>
        <w:tc>
          <w:tcPr>
            <w:tcW w:w="1728" w:type="dxa"/>
          </w:tcPr>
          <w:p w14:paraId="5BF59263" w14:textId="77777777" w:rsidR="00084578" w:rsidRDefault="00000000">
            <w:r>
              <w:t>0.715</w:t>
            </w:r>
          </w:p>
        </w:tc>
      </w:tr>
    </w:tbl>
    <w:p w14:paraId="00E48D75" w14:textId="77777777" w:rsidR="00084578" w:rsidRDefault="00084578"/>
    <w:p w14:paraId="5B137547" w14:textId="77777777" w:rsidR="00084578" w:rsidRDefault="00000000">
      <w:pPr>
        <w:jc w:val="center"/>
      </w:pPr>
      <w:r>
        <w:rPr>
          <w:noProof/>
        </w:rPr>
        <w:drawing>
          <wp:inline distT="0" distB="0" distL="0" distR="0" wp14:anchorId="54CE0BA5" wp14:editId="7FA18E6E">
            <wp:extent cx="4114800" cy="17445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etricas_comparac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1258" w14:textId="77777777" w:rsidR="00084578" w:rsidRDefault="00000000">
      <w:pPr>
        <w:jc w:val="center"/>
      </w:pPr>
      <w:r>
        <w:rPr>
          <w:i/>
          <w:sz w:val="18"/>
        </w:rPr>
        <w:t>Figura 1: Matriz Comparativa de Métricas de Performance.</w:t>
      </w:r>
    </w:p>
    <w:p w14:paraId="1CD767FA" w14:textId="77777777" w:rsidR="00084578" w:rsidRDefault="00084578"/>
    <w:p w14:paraId="0EBCA988" w14:textId="77777777" w:rsidR="00084578" w:rsidRDefault="00000000">
      <w:pPr>
        <w:jc w:val="center"/>
      </w:pPr>
      <w:r>
        <w:rPr>
          <w:noProof/>
        </w:rPr>
        <w:drawing>
          <wp:inline distT="0" distB="0" distL="0" distR="0" wp14:anchorId="73E21BD3" wp14:editId="4452763F">
            <wp:extent cx="4114800" cy="3270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oc_curves_compariso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735C" w14:textId="77777777" w:rsidR="00084578" w:rsidRDefault="00000000">
      <w:pPr>
        <w:jc w:val="center"/>
      </w:pPr>
      <w:r>
        <w:rPr>
          <w:i/>
          <w:sz w:val="18"/>
        </w:rPr>
        <w:t>Figura 2: Curvas ROC demonstrando a superioridade do modelo ensemble.</w:t>
      </w:r>
    </w:p>
    <w:p w14:paraId="50169006" w14:textId="77777777" w:rsidR="00084578" w:rsidRDefault="00084578"/>
    <w:p w14:paraId="0CA01CE9" w14:textId="77777777" w:rsidR="00084578" w:rsidRDefault="00000000">
      <w:pPr>
        <w:pStyle w:val="Ttulo1"/>
      </w:pPr>
      <w:r>
        <w:t>4. Estratégia de Deploy e Interface de Consumo</w:t>
      </w:r>
    </w:p>
    <w:p w14:paraId="7581CB3E" w14:textId="77777777" w:rsidR="00084578" w:rsidRDefault="00000000">
      <w:r>
        <w:t>Para a operacionalização do modelo, foi desenvolvida uma camada de interface utilizando o framework Streamlit. Esta escolha técnica visa democratizar o acesso às predições para analistas de negócio que não possuem interface com código.</w:t>
      </w:r>
    </w:p>
    <w:p w14:paraId="0F5EF6FF" w14:textId="77777777" w:rsidR="00084578" w:rsidRDefault="00000000">
      <w:r>
        <w:lastRenderedPageBreak/>
        <w:t>A interface permite a simulação de perfis de clientes (what-if analysis), onde o usuário pode alterar variáveis financeiras e observar o impacto imediato na probabilidade de inadimplência, facilitando a tomada de decisão estratégica.</w:t>
      </w:r>
    </w:p>
    <w:p w14:paraId="493656A6" w14:textId="77777777" w:rsidR="00084578" w:rsidRDefault="00000000">
      <w:pPr>
        <w:pStyle w:val="Ttulo1"/>
      </w:pPr>
      <w:r>
        <w:t>5. Monitoramento Contínuo e Ciclo de Vida</w:t>
      </w:r>
    </w:p>
    <w:p w14:paraId="44A6F91E" w14:textId="77777777" w:rsidR="00084578" w:rsidRDefault="00000000">
      <w:r>
        <w:t>Um modelo em produção é um organismo vivo sujeito a degradação. Implementou-se uma estratégia de monitoramento focada em:</w:t>
      </w:r>
    </w:p>
    <w:p w14:paraId="54AFD36E" w14:textId="77777777" w:rsidR="00084578" w:rsidRDefault="00000000">
      <w:pPr>
        <w:pStyle w:val="Commarcadores"/>
      </w:pPr>
      <w:r>
        <w:rPr>
          <w:b/>
        </w:rPr>
        <w:t xml:space="preserve">Data Drift: </w:t>
      </w:r>
      <w:r>
        <w:t>Detecção de mudanças na distribuição estatística das features via teste de Kolmogorov-Smirnov.</w:t>
      </w:r>
    </w:p>
    <w:p w14:paraId="784F1380" w14:textId="77777777" w:rsidR="00084578" w:rsidRDefault="00000000">
      <w:pPr>
        <w:pStyle w:val="Commarcadores"/>
      </w:pPr>
      <w:r>
        <w:rPr>
          <w:b/>
        </w:rPr>
        <w:t xml:space="preserve">Model Drift: </w:t>
      </w:r>
      <w:r>
        <w:t>Verificação de queda na performance preditiva comparada ao baseline histórico.</w:t>
      </w:r>
    </w:p>
    <w:p w14:paraId="0CAC0EF6" w14:textId="77777777" w:rsidR="00084578" w:rsidRDefault="00000000">
      <w:r>
        <w:t>Gatilhos de retreino automático foram configurados para garantir que o modelo se adapte a novas tendências econômicas, mantendo a aderência do sistema ao cenário real de mercado.</w:t>
      </w:r>
    </w:p>
    <w:p w14:paraId="3FC6B7C7" w14:textId="77777777" w:rsidR="00084578" w:rsidRDefault="00000000">
      <w:pPr>
        <w:pStyle w:val="Ttulo1"/>
      </w:pPr>
      <w:r>
        <w:t>6. Conclusões</w:t>
      </w:r>
    </w:p>
    <w:p w14:paraId="458520EA" w14:textId="77777777" w:rsidR="00084578" w:rsidRDefault="00000000">
      <w:r>
        <w:t>Este projeto demonstrou a viabilidade de um sistema de risco de crédito baseado em Random Forest, atingindo um ROC-AUC de 0.76. A integração com Streamlit e MLflow eleva a solução de um simples experimento para um produto de IA resiliente.</w:t>
      </w:r>
    </w:p>
    <w:p w14:paraId="1F4C7FC3" w14:textId="655F4B0D" w:rsidR="00084578" w:rsidRDefault="00084578"/>
    <w:sectPr w:rsidR="00084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988884">
    <w:abstractNumId w:val="8"/>
  </w:num>
  <w:num w:numId="2" w16cid:durableId="640696087">
    <w:abstractNumId w:val="6"/>
  </w:num>
  <w:num w:numId="3" w16cid:durableId="731394092">
    <w:abstractNumId w:val="5"/>
  </w:num>
  <w:num w:numId="4" w16cid:durableId="99222029">
    <w:abstractNumId w:val="4"/>
  </w:num>
  <w:num w:numId="5" w16cid:durableId="876552781">
    <w:abstractNumId w:val="7"/>
  </w:num>
  <w:num w:numId="6" w16cid:durableId="2135709711">
    <w:abstractNumId w:val="3"/>
  </w:num>
  <w:num w:numId="7" w16cid:durableId="860775026">
    <w:abstractNumId w:val="2"/>
  </w:num>
  <w:num w:numId="8" w16cid:durableId="124858604">
    <w:abstractNumId w:val="1"/>
  </w:num>
  <w:num w:numId="9" w16cid:durableId="748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78"/>
    <w:rsid w:val="0015074B"/>
    <w:rsid w:val="00160295"/>
    <w:rsid w:val="0029639D"/>
    <w:rsid w:val="00326F90"/>
    <w:rsid w:val="005A058C"/>
    <w:rsid w:val="009553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C6F97A"/>
  <w14:defaultImageDpi w14:val="300"/>
  <w15:docId w15:val="{9D3B9593-1D6F-479E-8F6B-1A4268A0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719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Bruno Grangeiro</cp:lastModifiedBy>
  <cp:revision>3</cp:revision>
  <dcterms:created xsi:type="dcterms:W3CDTF">2013-12-23T23:15:00Z</dcterms:created>
  <dcterms:modified xsi:type="dcterms:W3CDTF">2026-04-18T14:00:00Z</dcterms:modified>
  <cp:category/>
</cp:coreProperties>
</file>