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TÜBİTAK 1002-A Proje Taslağı</w:t>
      </w:r>
    </w:p>
    <w:p>
      <w:pPr>
        <w:pStyle w:val="Subtitle"/>
      </w:pPr>
      <w:r>
        <w:t xml:space="preserve">Böbrek Nakli Hastalarında İlaç Uyumu ve Öz-Yönetimi Destekleyen Yapay Zekâ Destekli Çok Disiplinli Dijital Takip Platformunun Geliştirilmesi ve Ön Değerlendirilmesi</w:t>
      </w:r>
    </w:p>
    <w:p>
      <w:pPr>
        <w:pStyle w:val="Author"/>
      </w:pPr>
      <w:r>
        <w:t xml:space="preserve">Taslak Başvuru Metni</w:t>
      </w:r>
    </w:p>
    <w:p>
      <w:pPr>
        <w:pStyle w:val="Date"/>
      </w:pPr>
      <w:r>
        <w:t xml:space="preserve">26 Nisan 2026</w:t>
      </w:r>
    </w:p>
    <w:sdt>
      <w:sdtPr>
        <w:docPartObj>
          <w:docPartGallery w:val="Table of Contents"/>
          <w:docPartUnique/>
        </w:docPartObj>
      </w:sdtPr>
      <w:sdtContent>
        <w:p>
          <w:pPr>
            <w:pStyle w:val="TOCHeading"/>
          </w:pPr>
          <w:r>
            <w:t xml:space="preserve">İçindekiler</w:t>
          </w:r>
        </w:p>
        <w:p>
          <w:r>
            <w:fldChar w:fldCharType="begin" w:dirty="true"/>
            <w:instrText xml:space="preserve">TOC \o "1-3" \h \z \u</w:instrText>
            <w:fldChar w:fldCharType="separate"/>
            <w:fldChar w:fldCharType="end"/>
          </w:r>
        </w:p>
      </w:sdtContent>
    </w:sdt>
    <w:bookmarkStart w:id="10" w:name="kapak-bilgileri"/>
    <w:p>
      <w:pPr>
        <w:pStyle w:val="Heading1"/>
      </w:pPr>
      <w:r>
        <w:t xml:space="preserve">Kapak Bilgileri</w:t>
      </w:r>
    </w:p>
    <w:p>
      <w:pPr>
        <w:pStyle w:val="FirstParagraph"/>
      </w:pPr>
      <w:r>
        <w:rPr>
          <w:b/>
          <w:bCs/>
        </w:rPr>
        <w:t xml:space="preserve">Program:</w:t>
      </w:r>
      <w:r>
        <w:t xml:space="preserve"> </w:t>
      </w:r>
      <w:r>
        <w:t xml:space="preserve">TÜBİTAK 1002-A Hızlı Destek Modülü</w:t>
      </w:r>
      <w:r>
        <w:br/>
      </w:r>
      <w:r>
        <w:rPr>
          <w:b/>
          <w:bCs/>
        </w:rPr>
        <w:t xml:space="preserve">Taslak Proje Başlığı:</w:t>
      </w:r>
      <w:r>
        <w:t xml:space="preserve"> </w:t>
      </w:r>
      <w:r>
        <w:t xml:space="preserve">Böbrek Nakli Hastalarında İlaç Uyumu ve Öz-Yönetimi Destekleyen Yapay Zekâ Destekli Çok Disiplinli Dijital Takip Platformunun Geliştirilmesi ve Ön Değerlendirilmesi</w:t>
      </w:r>
      <w:r>
        <w:br/>
      </w:r>
      <w:r>
        <w:rPr>
          <w:b/>
          <w:bCs/>
        </w:rPr>
        <w:t xml:space="preserve">Kısa Ad:</w:t>
      </w:r>
      <w:r>
        <w:t xml:space="preserve"> </w:t>
      </w:r>
      <w:r>
        <w:t xml:space="preserve">RenaCare-1002</w:t>
      </w:r>
      <w:r>
        <w:br/>
      </w:r>
      <w:r>
        <w:rPr>
          <w:b/>
          <w:bCs/>
        </w:rPr>
        <w:t xml:space="preserve">Proje Süresi:</w:t>
      </w:r>
      <w:r>
        <w:t xml:space="preserve"> </w:t>
      </w:r>
      <w:r>
        <w:t xml:space="preserve">12 ay</w:t>
      </w:r>
      <w:r>
        <w:br/>
      </w:r>
      <w:r>
        <w:rPr>
          <w:b/>
          <w:bCs/>
        </w:rPr>
        <w:t xml:space="preserve">Proje Türü:</w:t>
      </w:r>
      <w:r>
        <w:t xml:space="preserve"> </w:t>
      </w:r>
      <w:r>
        <w:t xml:space="preserve">Tek merkezli, karma yöntemli, prospektif pilot uygulama çalışması</w:t>
      </w:r>
      <w:r>
        <w:br/>
      </w:r>
      <w:r>
        <w:rPr>
          <w:b/>
          <w:bCs/>
        </w:rPr>
        <w:t xml:space="preserve">Yürütücü Kurum:</w:t>
      </w:r>
      <w:r>
        <w:t xml:space="preserve"> </w:t>
      </w:r>
      <w:r>
        <w:t xml:space="preserve">[Üniversite / Eğitim ve Araştırma Hastanesi adı eklenecek]</w:t>
      </w:r>
      <w:r>
        <w:br/>
      </w:r>
      <w:r>
        <w:rPr>
          <w:b/>
          <w:bCs/>
        </w:rPr>
        <w:t xml:space="preserve">Proje Yürütücüsü:</w:t>
      </w:r>
      <w:r>
        <w:t xml:space="preserve"> </w:t>
      </w:r>
      <w:r>
        <w:t xml:space="preserve">[Ad Soyad, Ünvan]</w:t>
      </w:r>
      <w:r>
        <w:br/>
      </w:r>
      <w:r>
        <w:rPr>
          <w:b/>
          <w:bCs/>
        </w:rPr>
        <w:t xml:space="preserve">Araştırmacılar:</w:t>
      </w:r>
      <w:r>
        <w:t xml:space="preserve"> </w:t>
      </w:r>
      <w:r>
        <w:t xml:space="preserve">[Nefroloji], [Beslenme ve Diyetetik], [Tıp Bilişimi/Yazılım], [Biyoistatistik]</w:t>
      </w:r>
    </w:p>
    <w:bookmarkStart w:id="9" w:name="program-uygunluğu-özeti"/>
    <w:p>
      <w:pPr>
        <w:pStyle w:val="Heading2"/>
      </w:pPr>
      <w:r>
        <w:t xml:space="preserve">Program Uygunluğu Özeti</w:t>
      </w:r>
    </w:p>
    <w:p>
      <w:pPr>
        <w:pStyle w:val="FirstParagraph"/>
      </w:pPr>
      <w:r>
        <w:t xml:space="preserve">Bu taslak, TÜBİTAK’ın 26 Nisan 2026 tarihinde erişilen güncel 1002-A çerçevesine göre hazırlanmıştır. Resmi program sayfasında 1002-A modülünün kısa süreli ve küçük bütçeli araştırma-geliştirme projeleri için olduğu; proje süresinin en fazla 12 ay, destek üst limitinin ise 1 Şubat 2026 itibarıyla burs dahil yıllık 150.000 TL olduğu belirtilmektedir. Başvurular yıl boyunca alınmakta ve değerlendirme dört boyutta yapılmaktadır: bilimsel nitelik, yöntem, proje yönetimi, çıktı/etki/kazanımlar [1].</w:t>
      </w:r>
    </w:p>
    <w:bookmarkEnd w:id="9"/>
    <w:bookmarkEnd w:id="10"/>
    <w:bookmarkStart w:id="11" w:name="özet"/>
    <w:p>
      <w:pPr>
        <w:pStyle w:val="Heading1"/>
      </w:pPr>
      <w:r>
        <w:t xml:space="preserve">1. Özet</w:t>
      </w:r>
    </w:p>
    <w:p>
      <w:pPr>
        <w:pStyle w:val="FirstParagraph"/>
      </w:pPr>
      <w:r>
        <w:t xml:space="preserve">Böbrek nakli, son dönem böbrek yetmezliğinde yaşam süresi ve yaşam kalitesi açısından en etkili tedavi seçeneklerinden biridir; ancak başarılı nakil sonrası dönemde immünosupresif ilaç uyumu, laboratuvar izlemi, enfeksiyon ve rejeksiyon belirtilerinin erken fark edilmesi, beslenme yönetimi ve hasta-hekim iletişimi kritik önemdedir. Sağlık Bakanlığı tarafından paylaşılan Ekim 2024 verilerine göre Türkiye’de organ nakli bekleyen yaklaşık 33.233 kişinin 25.043’ü böbrek nakli beklemektedir [2]. Nakil sonrası izlem yükünün artması, poliklinik yoğunluğu, hasta eğitim ihtiyacı ve dijital öz-yönetim araçlarına duyulan gereksinim, bu alanda uygulanabilir ve güvenli dijital çözümler geliştirilmesini zorunlu hale getirmektedir.</w:t>
      </w:r>
    </w:p>
    <w:p>
      <w:pPr>
        <w:pStyle w:val="BodyText"/>
      </w:pPr>
      <w:r>
        <w:t xml:space="preserve">Bu proje, mevcut RenaCare yazılım prototipinin klinik gereksinimlere göre yeniden yapılandırılması ve böbrek nakli alıcılarında ön değerlendirilmesini amaçlamaktadır. Platformun halihazırdaki prototipinde hasta tarafında ilaç takibi, beslenme rehberi, laboratuvar trend izlemi, randevu planlama ve yapay zekâ destekli soru-cevap modülü; klinisyen tarafında nefrolog ve diyetisyen panelleri, hasta listesi, laboratuvar analitiği ve bakım planı düzenleme bileşenleri bulunmaktadır. Önerilen araştırma, bu prototipi klinik kullanım açısından güvenli, ölçülebilir ve araştırma amaçlı bir müdahaleye dönüştürecektir.</w:t>
      </w:r>
    </w:p>
    <w:p>
      <w:pPr>
        <w:pStyle w:val="BodyText"/>
      </w:pPr>
      <w:r>
        <w:t xml:space="preserve">Çalışma tek merkezli, karma yöntemli ve tek kollu bir pilot tasarım olarak planlanmıştır. En az 30 erişkin böbrek nakli hastası ve 4 klinisyen (en az 2 nefrolog, 1 diyetisyen, 1 transplant hemşiresi veya koordinatör) çalışmaya dahil edilecektir. Projenin birincil çıktıları uygulanabilirlik, kullanılabilirlik ve kabul edilebilirlik olacaktır. İkincil ve keşifsel çıktılar ise öz-bildirime dayalı ilaç uyumu, kaçırılan randevu sayısı, hasta öz-yönetim algısı, klinisyen iş akışı memnuniyeti ve uygun hastalarda rutin klinik laboratuvar verilerinden elde edilecek takrolimus düzey değişkenliği ile kreatinin seyri olacaktır.</w:t>
      </w:r>
    </w:p>
    <w:p>
      <w:pPr>
        <w:pStyle w:val="BodyText"/>
      </w:pPr>
      <w:r>
        <w:t xml:space="preserve">Bu proje, 1002-A ölçeğine uygun olarak büyük ölçekli etkinlik çalışması yerine; klinik olarak güvenli, teknik olarak işleyen ve daha büyük bir 1001/3501 başvurusuna temel oluşturabilecek bir ön kanıt seti üretmeyi hedeflemektedir. Beklenen çıktılar; araştırma amaçlı doğrulanmış bir dijital takip platformu, yapılandırılmış klinik içerik kütüphanesi, pilot etki büyüklüğü tahminleri, en az bir ulusal/uluslararası bildiri ve en az bir makale taslağıdır.</w:t>
      </w:r>
    </w:p>
    <w:bookmarkEnd w:id="11"/>
    <w:bookmarkStart w:id="12" w:name="abstract"/>
    <w:p>
      <w:pPr>
        <w:pStyle w:val="Heading1"/>
      </w:pPr>
      <w:r>
        <w:t xml:space="preserve">2. Abstract</w:t>
      </w:r>
    </w:p>
    <w:p>
      <w:pPr>
        <w:pStyle w:val="FirstParagraph"/>
      </w:pPr>
      <w:r>
        <w:t xml:space="preserve">Kidney transplantation is the most effective treatment option for end-stage kidney disease in terms of survival and quality of life. However, long-term outcomes depend on sustained immunosuppressive medication adherence, timely recognition of rejection/infection signs, nutritional management, laboratory monitoring, and effective communication with clinicians. This project aims to clinically adapt and preliminarily evaluate the existing RenaCare prototype, a role-based digital follow-up platform for kidney transplant recipients.</w:t>
      </w:r>
    </w:p>
    <w:p>
      <w:pPr>
        <w:pStyle w:val="BodyText"/>
      </w:pPr>
      <w:r>
        <w:t xml:space="preserve">The project is designed as a single-center, mixed-methods, single-arm pilot study lasting 12 months. At least 30 adult kidney transplant recipients and 4 clinicians will be enrolled. The intervention includes a web-based, mobile-compatible platform with medication tracking, nutrition guidance, laboratory trend visualization, appointment management, physician/dietitian dashboards, and a safety-constrained AI assistant for patient education. Primary outcomes will be feasibility, usability, and acceptability. Secondary/exploratory outcomes will include self-reported medication adherence, missed appointments, perceived self-management, clinician workflow satisfaction, and routine laboratory indicators such as tacrolimus trough variability and serum creatinine trends where available.</w:t>
      </w:r>
    </w:p>
    <w:p>
      <w:pPr>
        <w:pStyle w:val="BodyText"/>
      </w:pPr>
      <w:r>
        <w:t xml:space="preserve">The project is deliberately positioned as a feasibility and validation study suitable for the current scope of TÜBİTAK 1002-A rather than a large-scale efficacy trial. Expected outputs include a clinically adapted pilot-ready platform, clinician-approved educational content, preliminary effect size estimates for a larger grant application, one conference presentation, and one manuscript draft.</w:t>
      </w:r>
    </w:p>
    <w:bookmarkEnd w:id="12"/>
    <w:bookmarkStart w:id="16" w:name="problem-tanımı-ve-gerekçe"/>
    <w:p>
      <w:pPr>
        <w:pStyle w:val="Heading1"/>
      </w:pPr>
      <w:r>
        <w:t xml:space="preserve">3. Problem Tanımı ve Gerekçe</w:t>
      </w:r>
    </w:p>
    <w:bookmarkStart w:id="13" w:name="klinik-gereksinim"/>
    <w:p>
      <w:pPr>
        <w:pStyle w:val="Heading2"/>
      </w:pPr>
      <w:r>
        <w:t xml:space="preserve">3.1 Klinik gereksinim</w:t>
      </w:r>
    </w:p>
    <w:p>
      <w:pPr>
        <w:pStyle w:val="FirstParagraph"/>
      </w:pPr>
      <w:r>
        <w:t xml:space="preserve">Böbrek nakli sonrası dönemde en önemli sorun alanlarından biri ilaç uyumudur. İmmünosupresif ilaçların düzensiz kullanımı; akut rejeksiyon, allogreft kaybı ve artmış sağlık hizmeti kullanımı ile ilişkilidir. Klasik sistematik derlemede, ilaç uyumsuzluğu ile greft kaybı riskinin anlamlı derecede arttığı ve uyumsuz bireylerde greft başarısızlığı olasılığının yaklaşık yedi kat yükseldiği bildirilmiştir [3]. Daha güncel yayınlar da ilaç uyumsuzluğunun greft kaybı ve olumsuz sonuçlarla ilişkisini sürdürdüğünü göstermektedir [4,5].</w:t>
      </w:r>
    </w:p>
    <w:p>
      <w:pPr>
        <w:pStyle w:val="BodyText"/>
      </w:pPr>
      <w:r>
        <w:t xml:space="preserve">İlaç uyumunun ötesinde, böbrek nakli hastaları yaşam boyu çok boyutlu öz-yönetim gereksinimine sahiptir. Takrolimus düzeylerinin düzenli takibi, serum kreatinin izlemi, enfeksiyon veya rejeksiyon belirtilerinin hızla fark edilmesi, gıda-ilaç etkileşimleri konusunda farkındalık ve bireyselleştirilmiş beslenme önerileri günlük bakımın temel bileşenleridir [6]. Özellikle greyfurt/pomelo gibi gıdalar ile immünosupresan etkileşimleri, hasta eğitiminde süreklilik ihtiyacını artırmaktadır.</w:t>
      </w:r>
    </w:p>
    <w:bookmarkEnd w:id="13"/>
    <w:bookmarkStart w:id="14" w:name="sağlık-sistemi-açısından-gerekçe"/>
    <w:p>
      <w:pPr>
        <w:pStyle w:val="Heading2"/>
      </w:pPr>
      <w:r>
        <w:t xml:space="preserve">3.2 Sağlık sistemi açısından gerekçe</w:t>
      </w:r>
    </w:p>
    <w:p>
      <w:pPr>
        <w:pStyle w:val="FirstParagraph"/>
      </w:pPr>
      <w:r>
        <w:t xml:space="preserve">Nakil merkezlerinde poliklinik iş yükü yüksektir; klinisyenler, her hastaya aynı yoğunlukta eğitim, izlem ve davranışsal destek veremeyebilmektedir. Buna karşılık, dijital sağlık uygulamaları hasta eğitimini süreklileştirebilir, kritik uyarıları standartlaştırabilir ve bakımı ekip tabanlı hale getirebilir. Sistematik derlemeler, böbrek nakli alıcılarında IT tabanlı ve mobil sağlık temelli öz-yönetim müdahalelerinin özellikle bilgi düzeyi, davranışsal öz-yönetim ve hasta katılımı açısından umut verici olduğunu göstermektedir; ancak klinik bağlamda güvenli ve uygulanabilir örneklerin sayısı hâlâ sınırlıdır [7,8,9].</w:t>
      </w:r>
    </w:p>
    <w:bookmarkEnd w:id="14"/>
    <w:bookmarkStart w:id="15" w:name="X16c7d9767e210f85dced8cca804995b03696726"/>
    <w:p>
      <w:pPr>
        <w:pStyle w:val="Heading2"/>
      </w:pPr>
      <w:r>
        <w:t xml:space="preserve">3.3 Projeye konu olan yazılım prototipi ile ilişki</w:t>
      </w:r>
    </w:p>
    <w:p>
      <w:pPr>
        <w:pStyle w:val="FirstParagraph"/>
      </w:pPr>
      <w:r>
        <w:t xml:space="preserve">Bu başvuruya konu olan RenaCare prototipi, böbrek nakli sonrası bakımın temel gereksinimlerini tek bir platformda toplamaktadır:</w:t>
      </w:r>
    </w:p>
    <w:p>
      <w:pPr>
        <w:pStyle w:val="Compact"/>
        <w:numPr>
          <w:ilvl w:val="0"/>
          <w:numId w:val="1001"/>
        </w:numPr>
      </w:pPr>
      <w:r>
        <w:t xml:space="preserve">Hasta paneli: ilaç takibi, beslenme rehberi, laboratuvar eğrileri, randevu ve mesajlaşma.</w:t>
      </w:r>
    </w:p>
    <w:p>
      <w:pPr>
        <w:pStyle w:val="Compact"/>
        <w:numPr>
          <w:ilvl w:val="0"/>
          <w:numId w:val="1001"/>
        </w:numPr>
      </w:pPr>
      <w:r>
        <w:t xml:space="preserve">Nefrolog paneli: hasta listesi, epikriz, ilaç/diyet düzenleme, laboratuvar trend analizi.</w:t>
      </w:r>
    </w:p>
    <w:p>
      <w:pPr>
        <w:pStyle w:val="Compact"/>
        <w:numPr>
          <w:ilvl w:val="0"/>
          <w:numId w:val="1001"/>
        </w:numPr>
      </w:pPr>
      <w:r>
        <w:t xml:space="preserve">Diyetisyen paneli: kısıtlı besin takibi, hedef kalori/protein/potasyum/fosfor/sıvı izlemi.</w:t>
      </w:r>
    </w:p>
    <w:p>
      <w:pPr>
        <w:pStyle w:val="Compact"/>
        <w:numPr>
          <w:ilvl w:val="0"/>
          <w:numId w:val="1001"/>
        </w:numPr>
      </w:pPr>
      <w:r>
        <w:t xml:space="preserve">Yapay zekâ modülü: böbrek nakli sonrası sık sorulara anlık yanıt verebilen eğitim odaklı asistan.</w:t>
      </w:r>
    </w:p>
    <w:p>
      <w:pPr>
        <w:pStyle w:val="FirstParagraph"/>
      </w:pPr>
      <w:r>
        <w:t xml:space="preserve">Ancak mevcut prototip henüz araştırma amaçlı klinik kullanıma hazır değildir. İçerik doğrulaması, güvenlik kuralları, riskli semptom yönlendirmesi, veri toplama altyapısı, standart ölçüm araçları ve pilot uygulama protokolü eklenmeden bu yapı bilimsel çıktıya dönüşemez. Bu proje tam olarak bu boşluğu dolduracaktır.</w:t>
      </w:r>
    </w:p>
    <w:bookmarkEnd w:id="15"/>
    <w:bookmarkEnd w:id="16"/>
    <w:bookmarkStart w:id="19" w:name="amaç-ve-hedefler"/>
    <w:p>
      <w:pPr>
        <w:pStyle w:val="Heading1"/>
      </w:pPr>
      <w:r>
        <w:t xml:space="preserve">4. Amaç ve Hedefler</w:t>
      </w:r>
    </w:p>
    <w:bookmarkStart w:id="17" w:name="genel-amaç"/>
    <w:p>
      <w:pPr>
        <w:pStyle w:val="Heading2"/>
      </w:pPr>
      <w:r>
        <w:t xml:space="preserve">4.1 Genel amaç</w:t>
      </w:r>
    </w:p>
    <w:p>
      <w:pPr>
        <w:pStyle w:val="FirstParagraph"/>
      </w:pPr>
      <w:r>
        <w:t xml:space="preserve">Amaç, böbrek nakli alıcılarında ilaç uyumu ve öz-yönetimi desteklemeye yönelik yapay zekâ destekli çok disiplinli dijital takip platformunun klinik kullanıma uygun biçimde geliştirilmesi ve ön değerlendirilmesidir.</w:t>
      </w:r>
    </w:p>
    <w:bookmarkEnd w:id="17"/>
    <w:bookmarkStart w:id="18" w:name="özel-hedefler"/>
    <w:p>
      <w:pPr>
        <w:pStyle w:val="Heading2"/>
      </w:pPr>
      <w:r>
        <w:t xml:space="preserve">4.2 Özel hedefler</w:t>
      </w:r>
    </w:p>
    <w:p>
      <w:pPr>
        <w:pStyle w:val="Compact"/>
        <w:numPr>
          <w:ilvl w:val="0"/>
          <w:numId w:val="1002"/>
        </w:numPr>
      </w:pPr>
      <w:r>
        <w:t xml:space="preserve">Mevcut RenaCare prototipini nefroloji, diyetetik ve transplant hemşireliği iş akışlarına uygun şekilde klinik açıdan yeniden yapılandırmak.</w:t>
      </w:r>
    </w:p>
    <w:p>
      <w:pPr>
        <w:pStyle w:val="Compact"/>
        <w:numPr>
          <w:ilvl w:val="0"/>
          <w:numId w:val="1002"/>
        </w:numPr>
      </w:pPr>
      <w:r>
        <w:t xml:space="preserve">Platform için hekim onaylı, güvenlik kuralı içeren ve böbrek nakli sonrası bakım odaklı içerik seti oluşturmak.</w:t>
      </w:r>
    </w:p>
    <w:p>
      <w:pPr>
        <w:pStyle w:val="Compact"/>
        <w:numPr>
          <w:ilvl w:val="0"/>
          <w:numId w:val="1002"/>
        </w:numPr>
      </w:pPr>
      <w:r>
        <w:t xml:space="preserve">En az 30 böbrek nakli hastasında platformun uygulanabilirliğini, kullanılabilirliğini ve kabul edilebilirliğini değerlendirmek.</w:t>
      </w:r>
    </w:p>
    <w:p>
      <w:pPr>
        <w:pStyle w:val="Compact"/>
        <w:numPr>
          <w:ilvl w:val="0"/>
          <w:numId w:val="1002"/>
        </w:numPr>
      </w:pPr>
      <w:r>
        <w:t xml:space="preserve">İlaç uyumu, öz-yönetim davranışı, kaçırılan randevu ve seçili rutin laboratuvar göstergeleri üzerinde ön-etki büyüklüklerini hesaplamak.</w:t>
      </w:r>
    </w:p>
    <w:p>
      <w:pPr>
        <w:pStyle w:val="Compact"/>
        <w:numPr>
          <w:ilvl w:val="0"/>
          <w:numId w:val="1002"/>
        </w:numPr>
      </w:pPr>
      <w:r>
        <w:t xml:space="preserve">Elde edilen bulgularla daha geniş ölçekli kontrollü çalışma için hazır bir protokol ve çıktı paketi oluşturmak.</w:t>
      </w:r>
    </w:p>
    <w:bookmarkEnd w:id="18"/>
    <w:bookmarkEnd w:id="19"/>
    <w:bookmarkStart w:id="22" w:name="araştırma-soruları-ve-hipotezler"/>
    <w:p>
      <w:pPr>
        <w:pStyle w:val="Heading1"/>
      </w:pPr>
      <w:r>
        <w:t xml:space="preserve">5. Araştırma Soruları ve Hipotezler</w:t>
      </w:r>
    </w:p>
    <w:bookmarkStart w:id="20" w:name="araştırma-soruları"/>
    <w:p>
      <w:pPr>
        <w:pStyle w:val="Heading2"/>
      </w:pPr>
      <w:r>
        <w:t xml:space="preserve">5.1 Araştırma soruları</w:t>
      </w:r>
    </w:p>
    <w:p>
      <w:pPr>
        <w:pStyle w:val="Compact"/>
        <w:numPr>
          <w:ilvl w:val="0"/>
          <w:numId w:val="1003"/>
        </w:numPr>
      </w:pPr>
      <w:r>
        <w:t xml:space="preserve">RenaCare platformu böbrek nakli alıcıları ve klinisyenler için uygulanabilir ve kabul edilebilir bir dijital izlem aracı mıdır?</w:t>
      </w:r>
    </w:p>
    <w:p>
      <w:pPr>
        <w:pStyle w:val="Compact"/>
        <w:numPr>
          <w:ilvl w:val="0"/>
          <w:numId w:val="1003"/>
        </w:numPr>
      </w:pPr>
      <w:r>
        <w:t xml:space="preserve">Platformun üç aylık pilot kullanımı sonunda hastaların ilaç uyumunda ve öz-yönetim göstergelerinde olumlu yönde değişim gözlenmekte midir?</w:t>
      </w:r>
    </w:p>
    <w:p>
      <w:pPr>
        <w:pStyle w:val="Compact"/>
        <w:numPr>
          <w:ilvl w:val="0"/>
          <w:numId w:val="1003"/>
        </w:numPr>
      </w:pPr>
      <w:r>
        <w:t xml:space="preserve">Yapay zekâ destekli eğitim modülü, klinisyen tarafından doğrulanmış güvenlik kuralları ile birlikte kullanıldığında hasta sorularının güvenli triyajına ve eğitim sürekliliğine katkı sağlayabilmekte midir?</w:t>
      </w:r>
    </w:p>
    <w:bookmarkEnd w:id="20"/>
    <w:bookmarkStart w:id="21" w:name="test-edilebilir-hipotezler"/>
    <w:p>
      <w:pPr>
        <w:pStyle w:val="Heading2"/>
      </w:pPr>
      <w:r>
        <w:t xml:space="preserve">5.2 Test edilebilir hipotezler</w:t>
      </w:r>
    </w:p>
    <w:p>
      <w:pPr>
        <w:pStyle w:val="FirstParagraph"/>
      </w:pPr>
      <w:r>
        <w:rPr>
          <w:b/>
          <w:bCs/>
        </w:rPr>
        <w:t xml:space="preserve">H1.</w:t>
      </w:r>
      <w:r>
        <w:t xml:space="preserve"> </w:t>
      </w:r>
      <w:r>
        <w:t xml:space="preserve">Üç aylık kullanım sonunda hasta kullanılabilirlik puanı (System Usability Scale, SUS) ortalaması 68 ve üzerinde olacaktır.</w:t>
      </w:r>
      <w:r>
        <w:br/>
      </w:r>
      <w:r>
        <w:rPr>
          <w:b/>
          <w:bCs/>
        </w:rPr>
        <w:t xml:space="preserve">H2.</w:t>
      </w:r>
      <w:r>
        <w:t xml:space="preserve"> </w:t>
      </w:r>
      <w:r>
        <w:t xml:space="preserve">Katılımcıların en az %70’i izlem döneminde haftada en az bir kez sisteme giriş yapacaktır.</w:t>
      </w:r>
      <w:r>
        <w:br/>
      </w:r>
      <w:r>
        <w:rPr>
          <w:b/>
          <w:bCs/>
        </w:rPr>
        <w:t xml:space="preserve">H3.</w:t>
      </w:r>
      <w:r>
        <w:t xml:space="preserve"> </w:t>
      </w:r>
      <w:r>
        <w:t xml:space="preserve">Başlangıca göre üçüncü ayda öz-bildirime dayalı immünosupresif ilaç uyumsuzluğu oranında azalma gözlenecektir.</w:t>
      </w:r>
      <w:r>
        <w:br/>
      </w:r>
      <w:r>
        <w:rPr>
          <w:b/>
          <w:bCs/>
        </w:rPr>
        <w:t xml:space="preserve">H4.</w:t>
      </w:r>
      <w:r>
        <w:t xml:space="preserve"> </w:t>
      </w:r>
      <w:r>
        <w:t xml:space="preserve">Klinisyenlerin en az %75’i platformun hasta eğitimi ve takip iş akışına katkı sunduğunu bildirecektir.</w:t>
      </w:r>
    </w:p>
    <w:bookmarkEnd w:id="21"/>
    <w:bookmarkEnd w:id="22"/>
    <w:bookmarkStart w:id="23" w:name="özgün-değer"/>
    <w:p>
      <w:pPr>
        <w:pStyle w:val="Heading1"/>
      </w:pPr>
      <w:r>
        <w:t xml:space="preserve">6. Özgün Değer</w:t>
      </w:r>
    </w:p>
    <w:p>
      <w:pPr>
        <w:pStyle w:val="FirstParagraph"/>
      </w:pPr>
      <w:r>
        <w:t xml:space="preserve">Bu proje aşağıdaki açılardan özgün değer taşımaktadır:</w:t>
      </w:r>
    </w:p>
    <w:p>
      <w:pPr>
        <w:pStyle w:val="Compact"/>
        <w:numPr>
          <w:ilvl w:val="0"/>
          <w:numId w:val="1004"/>
        </w:numPr>
      </w:pPr>
      <w:r>
        <w:rPr>
          <w:b/>
          <w:bCs/>
        </w:rPr>
        <w:t xml:space="preserve">Tek modüllü değil, bütünleşik bakım yaklaşımı sunmaktadır.</w:t>
      </w:r>
      <w:r>
        <w:t xml:space="preserve"> </w:t>
      </w:r>
      <w:r>
        <w:t xml:space="preserve">Çoğu dijital müdahale tek başlıkta kalırken bu proje ilaç, laboratuvar, beslenme, randevu ve klinisyen iletişimini tek platformda birleştirmektedir.</w:t>
      </w:r>
    </w:p>
    <w:p>
      <w:pPr>
        <w:pStyle w:val="Compact"/>
        <w:numPr>
          <w:ilvl w:val="0"/>
          <w:numId w:val="1004"/>
        </w:numPr>
      </w:pPr>
      <w:r>
        <w:rPr>
          <w:b/>
          <w:bCs/>
        </w:rPr>
        <w:t xml:space="preserve">Çok disiplinli tasarıma sahiptir.</w:t>
      </w:r>
      <w:r>
        <w:t xml:space="preserve"> </w:t>
      </w:r>
      <w:r>
        <w:t xml:space="preserve">Nefrolog, diyetisyen ve gerektiğinde transplant hemşiresi aynı bakım ekosisteminde yer almaktadır.</w:t>
      </w:r>
    </w:p>
    <w:p>
      <w:pPr>
        <w:pStyle w:val="Compact"/>
        <w:numPr>
          <w:ilvl w:val="0"/>
          <w:numId w:val="1004"/>
        </w:numPr>
      </w:pPr>
      <w:r>
        <w:rPr>
          <w:b/>
          <w:bCs/>
        </w:rPr>
        <w:t xml:space="preserve">Yapay zekâ modülü serbest klinik karar verici olarak değil, güvenlik sınırları tanımlanmış eğitim ve yönlendirme katmanı olarak kurgulanmaktadır.</w:t>
      </w:r>
      <w:r>
        <w:t xml:space="preserve"> </w:t>
      </w:r>
      <w:r>
        <w:t xml:space="preserve">Bu yaklaşım hasta güvenliğini önceleyen gerçekçi bir kullanım senaryosu sunar.</w:t>
      </w:r>
    </w:p>
    <w:p>
      <w:pPr>
        <w:pStyle w:val="Compact"/>
        <w:numPr>
          <w:ilvl w:val="0"/>
          <w:numId w:val="1004"/>
        </w:numPr>
      </w:pPr>
      <w:r>
        <w:rPr>
          <w:b/>
          <w:bCs/>
        </w:rPr>
        <w:t xml:space="preserve">Araştırma odaklı dönüşüm hedeflemektedir.</w:t>
      </w:r>
      <w:r>
        <w:t xml:space="preserve"> </w:t>
      </w:r>
      <w:r>
        <w:t xml:space="preserve">Mevcut yazılım prototipi bilimsel veri üretecek bir pilot müdahaleye dönüştürülecektir.</w:t>
      </w:r>
    </w:p>
    <w:p>
      <w:pPr>
        <w:pStyle w:val="Compact"/>
        <w:numPr>
          <w:ilvl w:val="0"/>
          <w:numId w:val="1004"/>
        </w:numPr>
      </w:pPr>
      <w:r>
        <w:rPr>
          <w:b/>
          <w:bCs/>
        </w:rPr>
        <w:t xml:space="preserve">Daha büyük destek programlarına zemin hazırlayacaktır.</w:t>
      </w:r>
      <w:r>
        <w:t xml:space="preserve"> </w:t>
      </w:r>
      <w:r>
        <w:t xml:space="preserve">1002-A ölçeğinde üretilecek uygulanabilirlik verisi, daha sonra çok merkezli ve kontrollü bir çalışmanın temelini oluşturacaktır.</w:t>
      </w:r>
    </w:p>
    <w:bookmarkEnd w:id="23"/>
    <w:bookmarkStart w:id="42" w:name="yöntem"/>
    <w:p>
      <w:pPr>
        <w:pStyle w:val="Heading1"/>
      </w:pPr>
      <w:r>
        <w:t xml:space="preserve">7. Yöntem</w:t>
      </w:r>
    </w:p>
    <w:bookmarkStart w:id="24" w:name="çalışma-tasarımı"/>
    <w:p>
      <w:pPr>
        <w:pStyle w:val="Heading2"/>
      </w:pPr>
      <w:r>
        <w:t xml:space="preserve">7.1 Çalışma tasarımı</w:t>
      </w:r>
    </w:p>
    <w:p>
      <w:pPr>
        <w:pStyle w:val="FirstParagraph"/>
      </w:pPr>
      <w:r>
        <w:t xml:space="preserve">Tek merkezli, karma yöntemli, tek kollu, prospektif pilot çalışma planlanmaktadır. Çalışma iki temel fazdan oluşacaktır:</w:t>
      </w:r>
    </w:p>
    <w:p>
      <w:pPr>
        <w:pStyle w:val="Compact"/>
        <w:numPr>
          <w:ilvl w:val="0"/>
          <w:numId w:val="1005"/>
        </w:numPr>
      </w:pPr>
      <w:r>
        <w:t xml:space="preserve">Klinik uyarlama ve güvenlik fazı.</w:t>
      </w:r>
    </w:p>
    <w:p>
      <w:pPr>
        <w:pStyle w:val="Compact"/>
        <w:numPr>
          <w:ilvl w:val="0"/>
          <w:numId w:val="1005"/>
        </w:numPr>
      </w:pPr>
      <w:r>
        <w:t xml:space="preserve">Hasta ve klinisyenlerle pilot uygulama fazı.</w:t>
      </w:r>
    </w:p>
    <w:p>
      <w:pPr>
        <w:pStyle w:val="FirstParagraph"/>
      </w:pPr>
      <w:r>
        <w:t xml:space="preserve">Bu tasarım, 1002-A’nın 12 ay ve sınırlı bütçe çerçevesine uygundur; büyük örneklemli etkinlik sınaması yerine uygulanabilirlik ve ön etki büyüklüğü üretmeye odaklanmaktadır.</w:t>
      </w:r>
    </w:p>
    <w:bookmarkEnd w:id="24"/>
    <w:bookmarkStart w:id="25" w:name="araştırma-ortamı"/>
    <w:p>
      <w:pPr>
        <w:pStyle w:val="Heading2"/>
      </w:pPr>
      <w:r>
        <w:t xml:space="preserve">7.2 Araştırma ortamı</w:t>
      </w:r>
    </w:p>
    <w:p>
      <w:pPr>
        <w:pStyle w:val="FirstParagraph"/>
      </w:pPr>
      <w:r>
        <w:t xml:space="preserve">Çalışma bir üniversite hastanesi veya eğitim ve araştırma hastanesinin nefroloji / organ nakli polikliniğinde yürütülecektir. Platform web tabanlı ve mobil uyumlu olacaktır; katılımcılar ek donanım gerektirmeden kendi telefonları veya bilgisayarları üzerinden kullanabilecektir.</w:t>
      </w:r>
    </w:p>
    <w:bookmarkEnd w:id="25"/>
    <w:bookmarkStart w:id="29" w:name="katılımcılar"/>
    <w:p>
      <w:pPr>
        <w:pStyle w:val="Heading2"/>
      </w:pPr>
      <w:r>
        <w:t xml:space="preserve">7.3 Katılımcılar</w:t>
      </w:r>
    </w:p>
    <w:bookmarkStart w:id="26" w:name="dahil-edilme-ölçütleri"/>
    <w:p>
      <w:pPr>
        <w:pStyle w:val="Heading3"/>
      </w:pPr>
      <w:r>
        <w:t xml:space="preserve">Dahil edilme ölçütleri</w:t>
      </w:r>
    </w:p>
    <w:p>
      <w:pPr>
        <w:pStyle w:val="Compact"/>
        <w:numPr>
          <w:ilvl w:val="0"/>
          <w:numId w:val="1006"/>
        </w:numPr>
      </w:pPr>
      <w:r>
        <w:t xml:space="preserve">18 yaş ve üzeri olmak.</w:t>
      </w:r>
    </w:p>
    <w:p>
      <w:pPr>
        <w:pStyle w:val="Compact"/>
        <w:numPr>
          <w:ilvl w:val="0"/>
          <w:numId w:val="1006"/>
        </w:numPr>
      </w:pPr>
      <w:r>
        <w:t xml:space="preserve">Böbrek nakli yapılmış olmak.</w:t>
      </w:r>
    </w:p>
    <w:p>
      <w:pPr>
        <w:pStyle w:val="Compact"/>
        <w:numPr>
          <w:ilvl w:val="0"/>
          <w:numId w:val="1006"/>
        </w:numPr>
      </w:pPr>
      <w:r>
        <w:t xml:space="preserve">Nakil sonrası en az 1 ay geçmiş olmak.</w:t>
      </w:r>
    </w:p>
    <w:p>
      <w:pPr>
        <w:pStyle w:val="Compact"/>
        <w:numPr>
          <w:ilvl w:val="0"/>
          <w:numId w:val="1006"/>
        </w:numPr>
      </w:pPr>
      <w:r>
        <w:t xml:space="preserve">Akıllı telefon veya internet erişimine sahip olmak.</w:t>
      </w:r>
    </w:p>
    <w:p>
      <w:pPr>
        <w:pStyle w:val="Compact"/>
        <w:numPr>
          <w:ilvl w:val="0"/>
          <w:numId w:val="1006"/>
        </w:numPr>
      </w:pPr>
      <w:r>
        <w:t xml:space="preserve">Türkçe okuyup anlayabilmek.</w:t>
      </w:r>
    </w:p>
    <w:p>
      <w:pPr>
        <w:pStyle w:val="Compact"/>
        <w:numPr>
          <w:ilvl w:val="0"/>
          <w:numId w:val="1006"/>
        </w:numPr>
      </w:pPr>
      <w:r>
        <w:t xml:space="preserve">Bilgilendirilmiş gönüllü onam vermek.</w:t>
      </w:r>
    </w:p>
    <w:bookmarkEnd w:id="26"/>
    <w:bookmarkStart w:id="27" w:name="dışlanma-ölçütleri"/>
    <w:p>
      <w:pPr>
        <w:pStyle w:val="Heading3"/>
      </w:pPr>
      <w:r>
        <w:t xml:space="preserve">Dışlanma ölçütleri</w:t>
      </w:r>
    </w:p>
    <w:p>
      <w:pPr>
        <w:pStyle w:val="Compact"/>
        <w:numPr>
          <w:ilvl w:val="0"/>
          <w:numId w:val="1007"/>
        </w:numPr>
      </w:pPr>
      <w:r>
        <w:t xml:space="preserve">Çalışma sırasında aktif yatış gerektiren akut ciddi klinik tablo.</w:t>
      </w:r>
    </w:p>
    <w:p>
      <w:pPr>
        <w:pStyle w:val="Compact"/>
        <w:numPr>
          <w:ilvl w:val="0"/>
          <w:numId w:val="1007"/>
        </w:numPr>
      </w:pPr>
      <w:r>
        <w:t xml:space="preserve">Bilişsel yetersizlik nedeniyle uygulamayı bağımsız kullanamama.</w:t>
      </w:r>
    </w:p>
    <w:p>
      <w:pPr>
        <w:pStyle w:val="Compact"/>
        <w:numPr>
          <w:ilvl w:val="0"/>
          <w:numId w:val="1007"/>
        </w:numPr>
      </w:pPr>
      <w:r>
        <w:t xml:space="preserve">Düzenli internet erişiminin hiç olmaması.</w:t>
      </w:r>
    </w:p>
    <w:bookmarkEnd w:id="27"/>
    <w:bookmarkStart w:id="28" w:name="örneklem"/>
    <w:p>
      <w:pPr>
        <w:pStyle w:val="Heading3"/>
      </w:pPr>
      <w:r>
        <w:t xml:space="preserve">Örneklem</w:t>
      </w:r>
    </w:p>
    <w:p>
      <w:pPr>
        <w:pStyle w:val="FirstParagraph"/>
      </w:pPr>
      <w:r>
        <w:t xml:space="preserve">En az 30 hasta hedeflenecektir. Pilot ve kullanılabilirlik çalışmalarında 24-40 arası örneklemler, uygulanabilirlik, süreç göstergeleri ve ilk etki büyüklükleri için yeterli kabul edilmektedir. Ayrıca 4 klinisyen (en az 2 nefrolog, 1 diyetisyen, 1 transplant hemşiresi/koordinatör) çalışma kapsamına alınacaktır.</w:t>
      </w:r>
    </w:p>
    <w:bookmarkEnd w:id="28"/>
    <w:bookmarkEnd w:id="29"/>
    <w:bookmarkStart w:id="33" w:name="müdahalenin-tanımı"/>
    <w:p>
      <w:pPr>
        <w:pStyle w:val="Heading2"/>
      </w:pPr>
      <w:r>
        <w:t xml:space="preserve">7.4 Müdahalenin tanımı</w:t>
      </w:r>
    </w:p>
    <w:p>
      <w:pPr>
        <w:pStyle w:val="FirstParagraph"/>
      </w:pPr>
      <w:r>
        <w:t xml:space="preserve">Proje kapsamında mevcut RenaCare prototipi aşağıdaki araştırma odaklı geliştirmelerle güncellenecektir:</w:t>
      </w:r>
    </w:p>
    <w:bookmarkStart w:id="30" w:name="hasta-tarafı-modülleri"/>
    <w:p>
      <w:pPr>
        <w:pStyle w:val="Heading3"/>
      </w:pPr>
      <w:r>
        <w:t xml:space="preserve">Hasta tarafı modülleri</w:t>
      </w:r>
    </w:p>
    <w:p>
      <w:pPr>
        <w:pStyle w:val="Compact"/>
        <w:numPr>
          <w:ilvl w:val="0"/>
          <w:numId w:val="1008"/>
        </w:numPr>
      </w:pPr>
      <w:r>
        <w:t xml:space="preserve">Günlük immünosupresif ve destek tedavi ilaç takibi.</w:t>
      </w:r>
    </w:p>
    <w:p>
      <w:pPr>
        <w:pStyle w:val="Compact"/>
        <w:numPr>
          <w:ilvl w:val="0"/>
          <w:numId w:val="1008"/>
        </w:numPr>
      </w:pPr>
      <w:r>
        <w:t xml:space="preserve">Zaman bazlı hatırlatma ve doz işaretleme.</w:t>
      </w:r>
    </w:p>
    <w:p>
      <w:pPr>
        <w:pStyle w:val="Compact"/>
        <w:numPr>
          <w:ilvl w:val="0"/>
          <w:numId w:val="1008"/>
        </w:numPr>
      </w:pPr>
      <w:r>
        <w:t xml:space="preserve">Nakil sonrası beslenme rehberi ve kişiselleştirilmiş diyet ekranı.</w:t>
      </w:r>
    </w:p>
    <w:p>
      <w:pPr>
        <w:pStyle w:val="Compact"/>
        <w:numPr>
          <w:ilvl w:val="0"/>
          <w:numId w:val="1008"/>
        </w:numPr>
      </w:pPr>
      <w:r>
        <w:t xml:space="preserve">Laboratuvar trend görüntüleme.</w:t>
      </w:r>
    </w:p>
    <w:p>
      <w:pPr>
        <w:pStyle w:val="Compact"/>
        <w:numPr>
          <w:ilvl w:val="0"/>
          <w:numId w:val="1008"/>
        </w:numPr>
      </w:pPr>
      <w:r>
        <w:t xml:space="preserve">Randevu ve mesajlaşma.</w:t>
      </w:r>
    </w:p>
    <w:p>
      <w:pPr>
        <w:pStyle w:val="Compact"/>
        <w:numPr>
          <w:ilvl w:val="0"/>
          <w:numId w:val="1008"/>
        </w:numPr>
      </w:pPr>
      <w:r>
        <w:t xml:space="preserve">Yapay zekâ destekli eğitim modülü.</w:t>
      </w:r>
    </w:p>
    <w:bookmarkEnd w:id="30"/>
    <w:bookmarkStart w:id="31" w:name="klinik-taraf-modülleri"/>
    <w:p>
      <w:pPr>
        <w:pStyle w:val="Heading3"/>
      </w:pPr>
      <w:r>
        <w:t xml:space="preserve">Klinik taraf modülleri</w:t>
      </w:r>
    </w:p>
    <w:p>
      <w:pPr>
        <w:pStyle w:val="Compact"/>
        <w:numPr>
          <w:ilvl w:val="0"/>
          <w:numId w:val="1009"/>
        </w:numPr>
      </w:pPr>
      <w:r>
        <w:t xml:space="preserve">Nefrolog paneli ile hasta bazlı ilaç/diyet/laboratuvar görünümü.</w:t>
      </w:r>
    </w:p>
    <w:p>
      <w:pPr>
        <w:pStyle w:val="Compact"/>
        <w:numPr>
          <w:ilvl w:val="0"/>
          <w:numId w:val="1009"/>
        </w:numPr>
      </w:pPr>
      <w:r>
        <w:t xml:space="preserve">Diyetisyen paneli ile kısıtlı besin ve hedef takibi.</w:t>
      </w:r>
    </w:p>
    <w:p>
      <w:pPr>
        <w:pStyle w:val="Compact"/>
        <w:numPr>
          <w:ilvl w:val="0"/>
          <w:numId w:val="1009"/>
        </w:numPr>
      </w:pPr>
      <w:r>
        <w:t xml:space="preserve">Riskli mesajların klinisyene iletilmesi.</w:t>
      </w:r>
    </w:p>
    <w:p>
      <w:pPr>
        <w:pStyle w:val="Compact"/>
        <w:numPr>
          <w:ilvl w:val="0"/>
          <w:numId w:val="1009"/>
        </w:numPr>
      </w:pPr>
      <w:r>
        <w:t xml:space="preserve">Hasta eğitimi için standart içerik havuzu.</w:t>
      </w:r>
    </w:p>
    <w:bookmarkEnd w:id="31"/>
    <w:bookmarkStart w:id="32" w:name="yapay-zekâ-güvenlik-kuralları"/>
    <w:p>
      <w:pPr>
        <w:pStyle w:val="Heading3"/>
      </w:pPr>
      <w:r>
        <w:t xml:space="preserve">Yapay zekâ güvenlik kuralları</w:t>
      </w:r>
    </w:p>
    <w:p>
      <w:pPr>
        <w:pStyle w:val="FirstParagraph"/>
      </w:pPr>
      <w:r>
        <w:t xml:space="preserve">Yapay zekâ modülü aşağıdaki sınırlar içinde çalışacaktır:</w:t>
      </w:r>
    </w:p>
    <w:p>
      <w:pPr>
        <w:pStyle w:val="Compact"/>
        <w:numPr>
          <w:ilvl w:val="0"/>
          <w:numId w:val="1010"/>
        </w:numPr>
      </w:pPr>
      <w:r>
        <w:t xml:space="preserve">İlaç dozu değiştirme önerisi vermeyecektir.</w:t>
      </w:r>
    </w:p>
    <w:p>
      <w:pPr>
        <w:pStyle w:val="Compact"/>
        <w:numPr>
          <w:ilvl w:val="0"/>
          <w:numId w:val="1010"/>
        </w:numPr>
      </w:pPr>
      <w:r>
        <w:t xml:space="preserve">Ateş, greft bölgesinde ağrı, belirgin idrar azalması, dirençli kusma, ciddi ishal, nefes darlığı, kanama, birden fazla immünosupresif doz atlama gibi durumları “acil klinik iletişim” olarak işaretleyecektir.</w:t>
      </w:r>
    </w:p>
    <w:p>
      <w:pPr>
        <w:pStyle w:val="Compact"/>
        <w:numPr>
          <w:ilvl w:val="0"/>
          <w:numId w:val="1010"/>
        </w:numPr>
      </w:pPr>
      <w:r>
        <w:t xml:space="preserve">Yanıtlar klinik karar yerine eğitim amaçlı sunulacaktır.</w:t>
      </w:r>
    </w:p>
    <w:p>
      <w:pPr>
        <w:pStyle w:val="Compact"/>
        <w:numPr>
          <w:ilvl w:val="0"/>
          <w:numId w:val="1010"/>
        </w:numPr>
      </w:pPr>
      <w:r>
        <w:t xml:space="preserve">Sık sorulan sorular havuzu nefrolog ve diyetisyen tarafından doğrulanacaktır.</w:t>
      </w:r>
    </w:p>
    <w:p>
      <w:pPr>
        <w:pStyle w:val="Compact"/>
        <w:numPr>
          <w:ilvl w:val="0"/>
          <w:numId w:val="1010"/>
        </w:numPr>
      </w:pPr>
      <w:r>
        <w:t xml:space="preserve">Tüm yapay zekâ yanıtları loglanacak ve örneklem bazlı içerik denetimi yapılacaktır.</w:t>
      </w:r>
    </w:p>
    <w:bookmarkEnd w:id="32"/>
    <w:bookmarkEnd w:id="33"/>
    <w:bookmarkStart w:id="34" w:name="veri-toplama-zaman-noktaları"/>
    <w:p>
      <w:pPr>
        <w:pStyle w:val="Heading2"/>
      </w:pPr>
      <w:r>
        <w:t xml:space="preserve">7.5 Veri toplama zaman noktaları</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Zaman noktası</w:t>
            </w:r>
          </w:p>
        </w:tc>
        <w:tc>
          <w:tcPr/>
          <w:p>
            <w:pPr>
              <w:pStyle w:val="Compact"/>
            </w:pPr>
            <w:r>
              <w:t xml:space="preserve">Ölçümler</w:t>
            </w:r>
          </w:p>
        </w:tc>
      </w:tr>
      <w:tr>
        <w:tc>
          <w:tcPr/>
          <w:p>
            <w:pPr>
              <w:pStyle w:val="Compact"/>
            </w:pPr>
            <w:r>
              <w:t xml:space="preserve">T0 (başlangıç)</w:t>
            </w:r>
          </w:p>
        </w:tc>
        <w:tc>
          <w:tcPr/>
          <w:p>
            <w:pPr>
              <w:pStyle w:val="Compact"/>
            </w:pPr>
            <w:r>
              <w:t xml:space="preserve">Demografi, nakil süresi, temel klinik bilgiler, başlangıç ilaç uyumu, başlangıç öz-yönetim algısı, mevcut dijital sağlık deneyimi</w:t>
            </w:r>
          </w:p>
        </w:tc>
      </w:tr>
      <w:tr>
        <w:tc>
          <w:tcPr/>
          <w:p>
            <w:pPr>
              <w:pStyle w:val="Compact"/>
            </w:pPr>
            <w:r>
              <w:t xml:space="preserve">T1 (6. hafta)</w:t>
            </w:r>
          </w:p>
        </w:tc>
        <w:tc>
          <w:tcPr/>
          <w:p>
            <w:pPr>
              <w:pStyle w:val="Compact"/>
            </w:pPr>
            <w:r>
              <w:t xml:space="preserve">Kullanım sıklığı, erken kullanılabilirlik geribildirimi, teknik sorunlar</w:t>
            </w:r>
          </w:p>
        </w:tc>
      </w:tr>
      <w:tr>
        <w:tc>
          <w:tcPr/>
          <w:p>
            <w:pPr>
              <w:pStyle w:val="Compact"/>
            </w:pPr>
            <w:r>
              <w:t xml:space="preserve">T2 (12. hafta)</w:t>
            </w:r>
          </w:p>
        </w:tc>
        <w:tc>
          <w:tcPr/>
          <w:p>
            <w:pPr>
              <w:pStyle w:val="Compact"/>
            </w:pPr>
            <w:r>
              <w:t xml:space="preserve">SUS, ilaç uyumu, öz-yönetim algısı, klinisyen memnuniyeti, kaçırılan randevu, mevcutsa rutin laboratuvar göstergeleri</w:t>
            </w:r>
          </w:p>
        </w:tc>
      </w:tr>
      <w:tr>
        <w:tc>
          <w:tcPr/>
          <w:p>
            <w:pPr>
              <w:pStyle w:val="Compact"/>
            </w:pPr>
            <w:r>
              <w:t xml:space="preserve">T3 (proje sonu)</w:t>
            </w:r>
          </w:p>
        </w:tc>
        <w:tc>
          <w:tcPr/>
          <w:p>
            <w:pPr>
              <w:pStyle w:val="Compact"/>
            </w:pPr>
            <w:r>
              <w:t xml:space="preserve">Nitel görüşmeler, tematik analiz, son çıktı değerlendirmesi</w:t>
            </w:r>
          </w:p>
        </w:tc>
      </w:tr>
    </w:tbl>
    <w:bookmarkEnd w:id="34"/>
    <w:bookmarkStart w:id="38" w:name="ölçüm-araçları-ve-göstergeler"/>
    <w:p>
      <w:pPr>
        <w:pStyle w:val="Heading2"/>
      </w:pPr>
      <w:r>
        <w:t xml:space="preserve">7.6 Ölçüm araçları ve göstergeler</w:t>
      </w:r>
    </w:p>
    <w:bookmarkStart w:id="35" w:name="birincil-çıktılar"/>
    <w:p>
      <w:pPr>
        <w:pStyle w:val="Heading3"/>
      </w:pPr>
      <w:r>
        <w:t xml:space="preserve">Birincil çıktılar</w:t>
      </w:r>
    </w:p>
    <w:p>
      <w:pPr>
        <w:pStyle w:val="Compact"/>
        <w:numPr>
          <w:ilvl w:val="0"/>
          <w:numId w:val="1011"/>
        </w:numPr>
      </w:pPr>
      <w:r>
        <w:rPr>
          <w:b/>
          <w:bCs/>
        </w:rPr>
        <w:t xml:space="preserve">Uygulanabilirlik:</w:t>
      </w:r>
      <w:r>
        <w:t xml:space="preserve"> </w:t>
      </w:r>
      <w:r>
        <w:t xml:space="preserve">Davet edilen uygun hastaların katılım oranı, 3 aylık izlem tamamlama oranı, haftalık aktif kullanım oranı.</w:t>
      </w:r>
    </w:p>
    <w:p>
      <w:pPr>
        <w:pStyle w:val="Compact"/>
        <w:numPr>
          <w:ilvl w:val="0"/>
          <w:numId w:val="1011"/>
        </w:numPr>
      </w:pPr>
      <w:r>
        <w:rPr>
          <w:b/>
          <w:bCs/>
        </w:rPr>
        <w:t xml:space="preserve">Kullanılabilirlik:</w:t>
      </w:r>
      <w:r>
        <w:t xml:space="preserve"> </w:t>
      </w:r>
      <w:r>
        <w:t xml:space="preserve">System Usability Scale (SUS).</w:t>
      </w:r>
    </w:p>
    <w:p>
      <w:pPr>
        <w:pStyle w:val="Compact"/>
        <w:numPr>
          <w:ilvl w:val="0"/>
          <w:numId w:val="1011"/>
        </w:numPr>
      </w:pPr>
      <w:r>
        <w:rPr>
          <w:b/>
          <w:bCs/>
        </w:rPr>
        <w:t xml:space="preserve">Kabul edilebilirlik:</w:t>
      </w:r>
      <w:r>
        <w:t xml:space="preserve"> </w:t>
      </w:r>
      <w:r>
        <w:t xml:space="preserve">Hasta ve klinisyen memnuniyet anketi, yarı yapılandırılmış görüşmeler.</w:t>
      </w:r>
    </w:p>
    <w:bookmarkEnd w:id="35"/>
    <w:bookmarkStart w:id="36" w:name="ikincil-keşifsel-çıktılar"/>
    <w:p>
      <w:pPr>
        <w:pStyle w:val="Heading3"/>
      </w:pPr>
      <w:r>
        <w:t xml:space="preserve">İkincil / keşifsel çıktılar</w:t>
      </w:r>
    </w:p>
    <w:p>
      <w:pPr>
        <w:pStyle w:val="Compact"/>
        <w:numPr>
          <w:ilvl w:val="0"/>
          <w:numId w:val="1012"/>
        </w:numPr>
      </w:pPr>
      <w:r>
        <w:t xml:space="preserve">Öz-bildirime dayalı immünosupresif ilaç uyumu.</w:t>
      </w:r>
    </w:p>
    <w:p>
      <w:pPr>
        <w:pStyle w:val="Compact"/>
        <w:numPr>
          <w:ilvl w:val="0"/>
          <w:numId w:val="1012"/>
        </w:numPr>
      </w:pPr>
      <w:r>
        <w:t xml:space="preserve">Son 4 haftada kaçırılan doz sayısı.</w:t>
      </w:r>
    </w:p>
    <w:p>
      <w:pPr>
        <w:pStyle w:val="Compact"/>
        <w:numPr>
          <w:ilvl w:val="0"/>
          <w:numId w:val="1012"/>
        </w:numPr>
      </w:pPr>
      <w:r>
        <w:t xml:space="preserve">Kaçırılan poliklinik randevusu sayısı.</w:t>
      </w:r>
    </w:p>
    <w:p>
      <w:pPr>
        <w:pStyle w:val="Compact"/>
        <w:numPr>
          <w:ilvl w:val="0"/>
          <w:numId w:val="1012"/>
        </w:numPr>
      </w:pPr>
      <w:r>
        <w:t xml:space="preserve">Hasta öz-yönetim güven puanı (0-10 görsel analog skala).</w:t>
      </w:r>
    </w:p>
    <w:p>
      <w:pPr>
        <w:pStyle w:val="Compact"/>
        <w:numPr>
          <w:ilvl w:val="0"/>
          <w:numId w:val="1012"/>
        </w:numPr>
      </w:pPr>
      <w:r>
        <w:t xml:space="preserve">Klinisyen algılanan iş akışı yararı.</w:t>
      </w:r>
    </w:p>
    <w:p>
      <w:pPr>
        <w:pStyle w:val="Compact"/>
        <w:numPr>
          <w:ilvl w:val="0"/>
          <w:numId w:val="1012"/>
        </w:numPr>
      </w:pPr>
      <w:r>
        <w:t xml:space="preserve">Rutin klinik uygulama kapsamında bakılan serum kreatinin ve takrolimus düzeyi değişkenliği.</w:t>
      </w:r>
    </w:p>
    <w:bookmarkEnd w:id="36"/>
    <w:bookmarkStart w:id="37" w:name="süreç-göstergeleri"/>
    <w:p>
      <w:pPr>
        <w:pStyle w:val="Heading3"/>
      </w:pPr>
      <w:r>
        <w:t xml:space="preserve">Süreç göstergeleri</w:t>
      </w:r>
    </w:p>
    <w:p>
      <w:pPr>
        <w:pStyle w:val="Compact"/>
        <w:numPr>
          <w:ilvl w:val="0"/>
          <w:numId w:val="1013"/>
        </w:numPr>
      </w:pPr>
      <w:r>
        <w:t xml:space="preserve">En sık kullanılan modüller.</w:t>
      </w:r>
    </w:p>
    <w:p>
      <w:pPr>
        <w:pStyle w:val="Compact"/>
        <w:numPr>
          <w:ilvl w:val="0"/>
          <w:numId w:val="1013"/>
        </w:numPr>
      </w:pPr>
      <w:r>
        <w:t xml:space="preserve">AI modülüne yöneltilen soru tipleri.</w:t>
      </w:r>
    </w:p>
    <w:p>
      <w:pPr>
        <w:pStyle w:val="Compact"/>
        <w:numPr>
          <w:ilvl w:val="0"/>
          <w:numId w:val="1013"/>
        </w:numPr>
      </w:pPr>
      <w:r>
        <w:t xml:space="preserve">Yüksek riskli uyarı sayısı.</w:t>
      </w:r>
    </w:p>
    <w:p>
      <w:pPr>
        <w:pStyle w:val="Compact"/>
        <w:numPr>
          <w:ilvl w:val="0"/>
          <w:numId w:val="1013"/>
        </w:numPr>
      </w:pPr>
      <w:r>
        <w:t xml:space="preserve">Teknik hata kayıtları.</w:t>
      </w:r>
    </w:p>
    <w:bookmarkEnd w:id="37"/>
    <w:bookmarkEnd w:id="38"/>
    <w:bookmarkStart w:id="39" w:name="istatistiksel-analiz"/>
    <w:p>
      <w:pPr>
        <w:pStyle w:val="Heading2"/>
      </w:pPr>
      <w:r>
        <w:t xml:space="preserve">7.7 İstatistiksel analiz</w:t>
      </w:r>
    </w:p>
    <w:p>
      <w:pPr>
        <w:pStyle w:val="FirstParagraph"/>
      </w:pPr>
      <w:r>
        <w:t xml:space="preserve">Veriler SPSS, Jamovi veya R ile analiz edilecektir. Sürekli değişkenler ortalama±SS veya medyan (minimum-maksimum) olarak, kategorik değişkenler sayı ve yüzde olarak sunulacaktır. Başlangıç ve 3. ay karşılaştırmalarında dağılıma göre eşleştirilmiş t testi veya Wilcoxon işaretli sıralar testi kullanılacaktır. Kategorik değişkenlerde McNemar testi uygulanacaktır. Pilot çalışmanın ana amacı etkinlik kanıtı değil, etki büyüklüğü ve süreç ölçümü üretmek olduğundan; Cohen’s d veya r etki büyüklükleri ayrıca raporlanacaktır. Eksik veriler tanımlanacak; uygun olduğunda tam olgu analizi yapılacaktır.</w:t>
      </w:r>
    </w:p>
    <w:bookmarkEnd w:id="39"/>
    <w:bookmarkStart w:id="40" w:name="nitel-analiz"/>
    <w:p>
      <w:pPr>
        <w:pStyle w:val="Heading2"/>
      </w:pPr>
      <w:r>
        <w:t xml:space="preserve">7.8 Nitel analiz</w:t>
      </w:r>
    </w:p>
    <w:p>
      <w:pPr>
        <w:pStyle w:val="FirstParagraph"/>
      </w:pPr>
      <w:r>
        <w:t xml:space="preserve">En az 10 hasta ve tüm klinisyenlerle yarı yapılandırılmış görüşme yapılacaktır. Görüşmelerde platformun anlaşılabilirliği, güven algısı, günlük rutine entegrasyonu, AI yanıtlarının yeterliliği ve geliştirme önerileri sorgulanacaktır. Ses kayıtları çözümlenip anonimleştirilecek; iki araştırmacı tarafından tematik analiz yürütülecektir.</w:t>
      </w:r>
    </w:p>
    <w:bookmarkEnd w:id="40"/>
    <w:bookmarkStart w:id="41" w:name="Xe036740f28794558ba2529db7c258b9a3e8edc7"/>
    <w:p>
      <w:pPr>
        <w:pStyle w:val="Heading2"/>
      </w:pPr>
      <w:r>
        <w:t xml:space="preserve">7.9 Etik ilkeler, veri güvenliği ve KVKK uyumu</w:t>
      </w:r>
    </w:p>
    <w:p>
      <w:pPr>
        <w:pStyle w:val="Compact"/>
        <w:numPr>
          <w:ilvl w:val="0"/>
          <w:numId w:val="1014"/>
        </w:numPr>
      </w:pPr>
      <w:r>
        <w:t xml:space="preserve">Proje başlamadan önce ilgili etik kurul onayı alınacaktır.</w:t>
      </w:r>
    </w:p>
    <w:p>
      <w:pPr>
        <w:pStyle w:val="Compact"/>
        <w:numPr>
          <w:ilvl w:val="0"/>
          <w:numId w:val="1014"/>
        </w:numPr>
      </w:pPr>
      <w:r>
        <w:t xml:space="preserve">Katılımcılardan bilgilendirilmiş gönüllü onam alınacaktır.</w:t>
      </w:r>
    </w:p>
    <w:p>
      <w:pPr>
        <w:pStyle w:val="Compact"/>
        <w:numPr>
          <w:ilvl w:val="0"/>
          <w:numId w:val="1014"/>
        </w:numPr>
      </w:pPr>
      <w:r>
        <w:t xml:space="preserve">Kimlik verileri ile araştırma verileri ayrı tutulacaktır.</w:t>
      </w:r>
    </w:p>
    <w:p>
      <w:pPr>
        <w:pStyle w:val="Compact"/>
        <w:numPr>
          <w:ilvl w:val="0"/>
          <w:numId w:val="1014"/>
        </w:numPr>
      </w:pPr>
      <w:r>
        <w:t xml:space="preserve">Analiz seti anonim kimlik kodları ile oluşturulacaktır.</w:t>
      </w:r>
    </w:p>
    <w:p>
      <w:pPr>
        <w:pStyle w:val="Compact"/>
        <w:numPr>
          <w:ilvl w:val="0"/>
          <w:numId w:val="1014"/>
        </w:numPr>
      </w:pPr>
      <w:r>
        <w:t xml:space="preserve">Sadece rutin klinik izlemde elde edilen veriler araştırmaya dahil edilecek; ek invaziv işlem yapılmayacaktır.</w:t>
      </w:r>
    </w:p>
    <w:p>
      <w:pPr>
        <w:pStyle w:val="Compact"/>
        <w:numPr>
          <w:ilvl w:val="0"/>
          <w:numId w:val="1014"/>
        </w:numPr>
      </w:pPr>
      <w:r>
        <w:t xml:space="preserve">AI modülü klinik karar destek aracı olarak değil, eğitim ve yönlendirme aracı olarak konumlandırılacaktır.</w:t>
      </w:r>
    </w:p>
    <w:p>
      <w:pPr>
        <w:pStyle w:val="Compact"/>
        <w:numPr>
          <w:ilvl w:val="0"/>
          <w:numId w:val="1014"/>
        </w:numPr>
      </w:pPr>
      <w:r>
        <w:t xml:space="preserve">Kişisel veri işleme süreçleri kurumun KVKK politikası ve bilgi işlem güvenliği çerçevesine göre yürütülecektir.</w:t>
      </w:r>
    </w:p>
    <w:bookmarkEnd w:id="41"/>
    <w:bookmarkEnd w:id="42"/>
    <w:bookmarkStart w:id="43" w:name="iş-paketi-ve-zaman-planı"/>
    <w:p>
      <w:pPr>
        <w:pStyle w:val="Heading1"/>
      </w:pPr>
      <w:r>
        <w:t xml:space="preserve">8. İş Paketi ve Zaman Planı</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İş Paketi</w:t>
            </w:r>
          </w:p>
        </w:tc>
        <w:tc>
          <w:tcPr/>
          <w:p>
            <w:pPr>
              <w:pStyle w:val="Compact"/>
            </w:pPr>
            <w:r>
              <w:t xml:space="preserve">Ay 1-2</w:t>
            </w:r>
          </w:p>
        </w:tc>
        <w:tc>
          <w:tcPr/>
          <w:p>
            <w:pPr>
              <w:pStyle w:val="Compact"/>
            </w:pPr>
            <w:r>
              <w:t xml:space="preserve">Ay 3-4</w:t>
            </w:r>
          </w:p>
        </w:tc>
        <w:tc>
          <w:tcPr/>
          <w:p>
            <w:pPr>
              <w:pStyle w:val="Compact"/>
            </w:pPr>
            <w:r>
              <w:t xml:space="preserve">Ay 5-6</w:t>
            </w:r>
          </w:p>
        </w:tc>
        <w:tc>
          <w:tcPr/>
          <w:p>
            <w:pPr>
              <w:pStyle w:val="Compact"/>
            </w:pPr>
            <w:r>
              <w:t xml:space="preserve">Ay 7-8</w:t>
            </w:r>
          </w:p>
        </w:tc>
        <w:tc>
          <w:tcPr/>
          <w:p>
            <w:pPr>
              <w:pStyle w:val="Compact"/>
            </w:pPr>
            <w:r>
              <w:t xml:space="preserve">Ay 9-10</w:t>
            </w:r>
          </w:p>
        </w:tc>
        <w:tc>
          <w:tcPr/>
          <w:p>
            <w:pPr>
              <w:pStyle w:val="Compact"/>
            </w:pPr>
            <w:r>
              <w:t xml:space="preserve">Ay 11-12</w:t>
            </w:r>
          </w:p>
        </w:tc>
        <w:tc>
          <w:tcPr/>
          <w:p>
            <w:pPr>
              <w:pStyle w:val="Compact"/>
            </w:pPr>
            <w:r>
              <w:t xml:space="preserve">Açıklama</w:t>
            </w:r>
          </w:p>
        </w:tc>
      </w:tr>
      <w:tr>
        <w:tc>
          <w:tcPr/>
          <w:p>
            <w:pPr>
              <w:pStyle w:val="Compact"/>
            </w:pPr>
            <w:r>
              <w:t xml:space="preserve">İP1: Klinik gereksinim analizi ve içerik doğrulama</w:t>
            </w:r>
          </w:p>
        </w:tc>
        <w:tc>
          <w:tcPr/>
          <w:p>
            <w:pPr>
              <w:pStyle w:val="Compac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Klinik ekip toplantıları, risk matrisi, içerik havuzu</w:t>
            </w:r>
          </w:p>
        </w:tc>
      </w:tr>
      <w:tr>
        <w:tc>
          <w:tcPr/>
          <w:p>
            <w:pPr>
              <w:pStyle w:val="Compact"/>
            </w:pPr>
            <w:r>
              <w:t xml:space="preserve">İP2: Yazılım uyarlama ve güvenlik kısıtları</w:t>
            </w:r>
          </w:p>
        </w:tc>
        <w:tc>
          <w:tcPr/>
          <w:p>
            <w:pPr>
              <w:pStyle w:val="Compact"/>
            </w:pPr>
            <w:r>
              <w:t xml:space="preserve">X</w:t>
            </w:r>
          </w:p>
        </w:tc>
        <w:tc>
          <w:tcPr/>
          <w:p>
            <w:pPr>
              <w:pStyle w:val="Compac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r>
              <w:t xml:space="preserve">AI güvenlik kuralları, loglama, ölçüm ekranları</w:t>
            </w:r>
          </w:p>
        </w:tc>
      </w:tr>
      <w:tr>
        <w:tc>
          <w:tcPr/>
          <w:p>
            <w:pPr>
              <w:pStyle w:val="Compact"/>
            </w:pPr>
            <w:r>
              <w:t xml:space="preserve">İP3: Ön test ve kullanılabilirlik iyileştirme</w:t>
            </w:r>
          </w:p>
        </w:tc>
        <w:tc>
          <w:tcPr/>
          <w:p>
            <w:pPr>
              <w:pStyle w:val="Compact"/>
            </w:pPr>
          </w:p>
        </w:tc>
        <w:tc>
          <w:tcPr/>
          <w:p>
            <w:pPr>
              <w:pStyle w:val="Compact"/>
            </w:pPr>
            <w:r>
              <w:t xml:space="preserve">X</w:t>
            </w:r>
          </w:p>
        </w:tc>
        <w:tc>
          <w:tcPr/>
          <w:p>
            <w:pPr>
              <w:pStyle w:val="Compact"/>
            </w:pPr>
            <w:r>
              <w:t xml:space="preserve">X</w:t>
            </w:r>
          </w:p>
        </w:tc>
        <w:tc>
          <w:tcPr/>
          <w:p>
            <w:pPr>
              <w:pStyle w:val="Compact"/>
            </w:pPr>
          </w:p>
        </w:tc>
        <w:tc>
          <w:tcPr/>
          <w:p>
            <w:pPr>
              <w:pStyle w:val="Compact"/>
            </w:pPr>
          </w:p>
        </w:tc>
        <w:tc>
          <w:tcPr/>
          <w:p>
            <w:pPr>
              <w:pStyle w:val="Compact"/>
            </w:pPr>
          </w:p>
        </w:tc>
        <w:tc>
          <w:tcPr/>
          <w:p>
            <w:pPr>
              <w:pStyle w:val="Compact"/>
            </w:pPr>
            <w:r>
              <w:t xml:space="preserve">5-8 kullanıcı ile ön deneme, arayüz revizyonu</w:t>
            </w:r>
          </w:p>
        </w:tc>
      </w:tr>
      <w:tr>
        <w:tc>
          <w:tcPr/>
          <w:p>
            <w:pPr>
              <w:pStyle w:val="Compact"/>
            </w:pPr>
            <w:r>
              <w:t xml:space="preserve">İP4: Etik kurul ve saha hazırlığı</w:t>
            </w:r>
          </w:p>
        </w:tc>
        <w:tc>
          <w:tcPr/>
          <w:p>
            <w:pPr>
              <w:pStyle w:val="Compact"/>
            </w:pPr>
            <w:r>
              <w:t xml:space="preserve">X</w:t>
            </w:r>
          </w:p>
        </w:tc>
        <w:tc>
          <w:tcPr/>
          <w:p>
            <w:pPr>
              <w:pStyle w:val="Compac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r>
              <w:t xml:space="preserve">Etik izin, veri akışı, araştırmacı eğitimi</w:t>
            </w:r>
          </w:p>
        </w:tc>
      </w:tr>
      <w:tr>
        <w:tc>
          <w:tcPr/>
          <w:p>
            <w:pPr>
              <w:pStyle w:val="Compact"/>
            </w:pPr>
            <w:r>
              <w:t xml:space="preserve">İP5: Pilot hasta alımı ve izlem</w:t>
            </w:r>
          </w:p>
        </w:tc>
        <w:tc>
          <w:tcPr/>
          <w:p>
            <w:pPr>
              <w:pStyle w:val="Compact"/>
            </w:pPr>
          </w:p>
        </w:tc>
        <w:tc>
          <w:tcPr/>
          <w:p>
            <w:pPr>
              <w:pStyle w:val="Compact"/>
            </w:pP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p>
        </w:tc>
        <w:tc>
          <w:tcPr/>
          <w:p>
            <w:pPr>
              <w:pStyle w:val="Compact"/>
            </w:pPr>
            <w:r>
              <w:t xml:space="preserve">30 hasta, 12 haftalık kullanım</w:t>
            </w:r>
          </w:p>
        </w:tc>
      </w:tr>
      <w:tr>
        <w:tc>
          <w:tcPr/>
          <w:p>
            <w:pPr>
              <w:pStyle w:val="Compact"/>
            </w:pPr>
            <w:r>
              <w:t xml:space="preserve">İP6: Veri analizi</w:t>
            </w:r>
          </w:p>
        </w:tc>
        <w:tc>
          <w:tcPr/>
          <w:p>
            <w:pPr>
              <w:pStyle w:val="Compact"/>
            </w:pPr>
          </w:p>
        </w:tc>
        <w:tc>
          <w:tcPr/>
          <w:p>
            <w:pPr>
              <w:pStyle w:val="Compact"/>
            </w:pPr>
          </w:p>
        </w:tc>
        <w:tc>
          <w:tcPr/>
          <w:p>
            <w:pPr>
              <w:pStyle w:val="Compact"/>
            </w:pPr>
          </w:p>
        </w:tc>
        <w:tc>
          <w:tcPr/>
          <w:p>
            <w:pPr>
              <w:pStyle w:val="Compact"/>
            </w:pPr>
          </w:p>
        </w:tc>
        <w:tc>
          <w:tcPr/>
          <w:p>
            <w:pPr>
              <w:pStyle w:val="Compact"/>
            </w:pPr>
            <w:r>
              <w:t xml:space="preserve">X</w:t>
            </w:r>
          </w:p>
        </w:tc>
        <w:tc>
          <w:tcPr/>
          <w:p>
            <w:pPr>
              <w:pStyle w:val="Compact"/>
            </w:pPr>
            <w:r>
              <w:t xml:space="preserve">X</w:t>
            </w:r>
          </w:p>
        </w:tc>
        <w:tc>
          <w:tcPr/>
          <w:p>
            <w:pPr>
              <w:pStyle w:val="Compact"/>
            </w:pPr>
            <w:r>
              <w:t xml:space="preserve">Nicel ve nitel analiz</w:t>
            </w:r>
          </w:p>
        </w:tc>
      </w:tr>
      <w:tr>
        <w:tc>
          <w:tcPr/>
          <w:p>
            <w:pPr>
              <w:pStyle w:val="Compact"/>
            </w:pPr>
            <w:r>
              <w:t xml:space="preserve">İP7: Raporlama ve yaygınlaştırma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X</w:t>
            </w:r>
          </w:p>
        </w:tc>
        <w:tc>
          <w:tcPr/>
          <w:p>
            <w:pPr>
              <w:pStyle w:val="Compact"/>
            </w:pPr>
            <w:r>
              <w:t xml:space="preserve">Makale, bildiri, sonuç raporu</w:t>
            </w:r>
          </w:p>
        </w:tc>
      </w:tr>
    </w:tbl>
    <w:bookmarkEnd w:id="43"/>
    <w:bookmarkStart w:id="48" w:name="beklenen-çıktılar-etki-ve-kazanımlar"/>
    <w:p>
      <w:pPr>
        <w:pStyle w:val="Heading1"/>
      </w:pPr>
      <w:r>
        <w:t xml:space="preserve">9. Beklenen Çıktılar, Etki ve Kazanımlar</w:t>
      </w:r>
    </w:p>
    <w:bookmarkStart w:id="44" w:name="bilimsel-çıktı"/>
    <w:p>
      <w:pPr>
        <w:pStyle w:val="Heading2"/>
      </w:pPr>
      <w:r>
        <w:t xml:space="preserve">9.1 Bilimsel çıktı</w:t>
      </w:r>
    </w:p>
    <w:p>
      <w:pPr>
        <w:pStyle w:val="Compact"/>
        <w:numPr>
          <w:ilvl w:val="0"/>
          <w:numId w:val="1015"/>
        </w:numPr>
      </w:pPr>
      <w:r>
        <w:t xml:space="preserve">En az bir araştırma makalesi taslağı.</w:t>
      </w:r>
    </w:p>
    <w:p>
      <w:pPr>
        <w:pStyle w:val="Compact"/>
        <w:numPr>
          <w:ilvl w:val="0"/>
          <w:numId w:val="1015"/>
        </w:numPr>
      </w:pPr>
      <w:r>
        <w:t xml:space="preserve">En az bir ulusal veya uluslararası kongre bildirisi.</w:t>
      </w:r>
    </w:p>
    <w:p>
      <w:pPr>
        <w:pStyle w:val="Compact"/>
        <w:numPr>
          <w:ilvl w:val="0"/>
          <w:numId w:val="1015"/>
        </w:numPr>
      </w:pPr>
      <w:r>
        <w:t xml:space="preserve">Daha büyük ölçekli kontrollü çalışma için pilot veri seti ve etki büyüklüğü tahmini.</w:t>
      </w:r>
    </w:p>
    <w:bookmarkEnd w:id="44"/>
    <w:bookmarkStart w:id="45" w:name="teknolojik-çıktı"/>
    <w:p>
      <w:pPr>
        <w:pStyle w:val="Heading2"/>
      </w:pPr>
      <w:r>
        <w:t xml:space="preserve">9.2 Teknolojik çıktı</w:t>
      </w:r>
    </w:p>
    <w:p>
      <w:pPr>
        <w:pStyle w:val="Compact"/>
        <w:numPr>
          <w:ilvl w:val="0"/>
          <w:numId w:val="1016"/>
        </w:numPr>
      </w:pPr>
      <w:r>
        <w:t xml:space="preserve">Klinik kullanıma göre uyarlanmış, araştırma amaçlı pilot hazır RenaCare sürümü.</w:t>
      </w:r>
    </w:p>
    <w:p>
      <w:pPr>
        <w:pStyle w:val="Compact"/>
        <w:numPr>
          <w:ilvl w:val="0"/>
          <w:numId w:val="1016"/>
        </w:numPr>
      </w:pPr>
      <w:r>
        <w:t xml:space="preserve">Nefrolog ve diyetisyen onaylı eğitim içerik kütüphanesi.</w:t>
      </w:r>
    </w:p>
    <w:p>
      <w:pPr>
        <w:pStyle w:val="Compact"/>
        <w:numPr>
          <w:ilvl w:val="0"/>
          <w:numId w:val="1016"/>
        </w:numPr>
      </w:pPr>
      <w:r>
        <w:t xml:space="preserve">Yüksek riskli semptomlar için güvenlik ve yönlendirme algoritması.</w:t>
      </w:r>
    </w:p>
    <w:bookmarkEnd w:id="45"/>
    <w:bookmarkStart w:id="46" w:name="klinik-ve-toplumsal-etki"/>
    <w:p>
      <w:pPr>
        <w:pStyle w:val="Heading2"/>
      </w:pPr>
      <w:r>
        <w:t xml:space="preserve">9.3 Klinik ve toplumsal etki</w:t>
      </w:r>
    </w:p>
    <w:p>
      <w:pPr>
        <w:pStyle w:val="Compact"/>
        <w:numPr>
          <w:ilvl w:val="0"/>
          <w:numId w:val="1017"/>
        </w:numPr>
      </w:pPr>
      <w:r>
        <w:t xml:space="preserve">Böbrek nakli alıcılarında ilaç uyumu ve eğitim sürekliliğinin desteklenmesi.</w:t>
      </w:r>
    </w:p>
    <w:p>
      <w:pPr>
        <w:pStyle w:val="Compact"/>
        <w:numPr>
          <w:ilvl w:val="0"/>
          <w:numId w:val="1017"/>
        </w:numPr>
      </w:pPr>
      <w:r>
        <w:t xml:space="preserve">Klinik izlem iş yükünün daha yapılandırılmış hale gelmesi.</w:t>
      </w:r>
    </w:p>
    <w:p>
      <w:pPr>
        <w:pStyle w:val="Compact"/>
        <w:numPr>
          <w:ilvl w:val="0"/>
          <w:numId w:val="1017"/>
        </w:numPr>
      </w:pPr>
      <w:r>
        <w:t xml:space="preserve">Hastaların bakım ekibine erişim algısının güçlenmesi.</w:t>
      </w:r>
    </w:p>
    <w:p>
      <w:pPr>
        <w:pStyle w:val="Compact"/>
        <w:numPr>
          <w:ilvl w:val="0"/>
          <w:numId w:val="1017"/>
        </w:numPr>
      </w:pPr>
      <w:r>
        <w:t xml:space="preserve">Türkiye’de transplant takip süreçlerine özgü, yerel bağlama uygun dijital çözüm örneği oluşturulması.</w:t>
      </w:r>
    </w:p>
    <w:bookmarkEnd w:id="46"/>
    <w:bookmarkStart w:id="47" w:name="kurumsal-kazanım"/>
    <w:p>
      <w:pPr>
        <w:pStyle w:val="Heading2"/>
      </w:pPr>
      <w:r>
        <w:t xml:space="preserve">9.4 Kurumsal kazanım</w:t>
      </w:r>
    </w:p>
    <w:p>
      <w:pPr>
        <w:pStyle w:val="Compact"/>
        <w:numPr>
          <w:ilvl w:val="0"/>
          <w:numId w:val="1018"/>
        </w:numPr>
      </w:pPr>
      <w:r>
        <w:t xml:space="preserve">İlgili merkezde dijital transplant izlemine yönelik araştırma kapasitesi gelişecektir.</w:t>
      </w:r>
    </w:p>
    <w:p>
      <w:pPr>
        <w:pStyle w:val="Compact"/>
        <w:numPr>
          <w:ilvl w:val="0"/>
          <w:numId w:val="1018"/>
        </w:numPr>
      </w:pPr>
      <w:r>
        <w:t xml:space="preserve">1001, 3501 veya uluslararası çağrılar için ölçeklenebilir proje zemini oluşacaktır.</w:t>
      </w:r>
    </w:p>
    <w:bookmarkEnd w:id="47"/>
    <w:bookmarkEnd w:id="48"/>
    <w:bookmarkStart w:id="49" w:name="risk-yönetimi-ve-b-planı"/>
    <w:p>
      <w:pPr>
        <w:pStyle w:val="Heading1"/>
      </w:pPr>
      <w:r>
        <w:t xml:space="preserve">10. Risk Yönetimi ve B Planı</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Olası risk</w:t>
            </w:r>
          </w:p>
        </w:tc>
        <w:tc>
          <w:tcPr/>
          <w:p>
            <w:pPr>
              <w:pStyle w:val="Compact"/>
            </w:pPr>
            <w:r>
              <w:t xml:space="preserve">Olasılık</w:t>
            </w:r>
          </w:p>
        </w:tc>
        <w:tc>
          <w:tcPr/>
          <w:p>
            <w:pPr>
              <w:pStyle w:val="Compact"/>
            </w:pPr>
            <w:r>
              <w:t xml:space="preserve">Etki</w:t>
            </w:r>
          </w:p>
        </w:tc>
        <w:tc>
          <w:tcPr/>
          <w:p>
            <w:pPr>
              <w:pStyle w:val="Compact"/>
            </w:pPr>
            <w:r>
              <w:t xml:space="preserve">Önlem / B planı</w:t>
            </w:r>
          </w:p>
        </w:tc>
      </w:tr>
      <w:tr>
        <w:tc>
          <w:tcPr/>
          <w:p>
            <w:pPr>
              <w:pStyle w:val="Compact"/>
            </w:pPr>
            <w:r>
              <w:t xml:space="preserve">Hasta alımının yavaş olması</w:t>
            </w:r>
          </w:p>
        </w:tc>
        <w:tc>
          <w:tcPr/>
          <w:p>
            <w:pPr>
              <w:pStyle w:val="Compact"/>
            </w:pPr>
            <w:r>
              <w:t xml:space="preserve">Orta</w:t>
            </w:r>
          </w:p>
        </w:tc>
        <w:tc>
          <w:tcPr/>
          <w:p>
            <w:pPr>
              <w:pStyle w:val="Compact"/>
            </w:pPr>
            <w:r>
              <w:t xml:space="preserve">Orta</w:t>
            </w:r>
          </w:p>
        </w:tc>
        <w:tc>
          <w:tcPr/>
          <w:p>
            <w:pPr>
              <w:pStyle w:val="Compact"/>
            </w:pPr>
            <w:r>
              <w:t xml:space="preserve">Dahil edilme kriterlerinde güvenli esneklik, poliklinik günlerinde aktif tarama</w:t>
            </w:r>
          </w:p>
        </w:tc>
      </w:tr>
      <w:tr>
        <w:tc>
          <w:tcPr/>
          <w:p>
            <w:pPr>
              <w:pStyle w:val="Compact"/>
            </w:pPr>
            <w:r>
              <w:t xml:space="preserve">Dijital kullanımın beklenenden düşük olması</w:t>
            </w:r>
          </w:p>
        </w:tc>
        <w:tc>
          <w:tcPr/>
          <w:p>
            <w:pPr>
              <w:pStyle w:val="Compact"/>
            </w:pPr>
            <w:r>
              <w:t xml:space="preserve">Orta</w:t>
            </w:r>
          </w:p>
        </w:tc>
        <w:tc>
          <w:tcPr/>
          <w:p>
            <w:pPr>
              <w:pStyle w:val="Compact"/>
            </w:pPr>
            <w:r>
              <w:t xml:space="preserve">Yüksek</w:t>
            </w:r>
          </w:p>
        </w:tc>
        <w:tc>
          <w:tcPr/>
          <w:p>
            <w:pPr>
              <w:pStyle w:val="Compact"/>
            </w:pPr>
            <w:r>
              <w:t xml:space="preserve">Kısa eğitim videosu, ilk hafta telefonla destek, arayüz sadeleştirmesi</w:t>
            </w:r>
          </w:p>
        </w:tc>
      </w:tr>
      <w:tr>
        <w:tc>
          <w:tcPr/>
          <w:p>
            <w:pPr>
              <w:pStyle w:val="Compact"/>
            </w:pPr>
            <w:r>
              <w:t xml:space="preserve">AI yanıt güvenliği ile ilgili kaygılar</w:t>
            </w:r>
          </w:p>
        </w:tc>
        <w:tc>
          <w:tcPr/>
          <w:p>
            <w:pPr>
              <w:pStyle w:val="Compact"/>
            </w:pPr>
            <w:r>
              <w:t xml:space="preserve">Düşük-Orta</w:t>
            </w:r>
          </w:p>
        </w:tc>
        <w:tc>
          <w:tcPr/>
          <w:p>
            <w:pPr>
              <w:pStyle w:val="Compact"/>
            </w:pPr>
            <w:r>
              <w:t xml:space="preserve">Yüksek</w:t>
            </w:r>
          </w:p>
        </w:tc>
        <w:tc>
          <w:tcPr/>
          <w:p>
            <w:pPr>
              <w:pStyle w:val="Compact"/>
            </w:pPr>
            <w:r>
              <w:t xml:space="preserve">Kural tabanlı uyarılar, klinisyen doğrulamalı içerik, acil yönlendirme protokolü</w:t>
            </w:r>
          </w:p>
        </w:tc>
      </w:tr>
      <w:tr>
        <w:tc>
          <w:tcPr/>
          <w:p>
            <w:pPr>
              <w:pStyle w:val="Compact"/>
            </w:pPr>
            <w:r>
              <w:t xml:space="preserve">Teknik aksaklıklar</w:t>
            </w:r>
          </w:p>
        </w:tc>
        <w:tc>
          <w:tcPr/>
          <w:p>
            <w:pPr>
              <w:pStyle w:val="Compact"/>
            </w:pPr>
            <w:r>
              <w:t xml:space="preserve">Orta</w:t>
            </w:r>
          </w:p>
        </w:tc>
        <w:tc>
          <w:tcPr/>
          <w:p>
            <w:pPr>
              <w:pStyle w:val="Compact"/>
            </w:pPr>
            <w:r>
              <w:t xml:space="preserve">Orta</w:t>
            </w:r>
          </w:p>
        </w:tc>
        <w:tc>
          <w:tcPr/>
          <w:p>
            <w:pPr>
              <w:pStyle w:val="Compact"/>
            </w:pPr>
            <w:r>
              <w:t xml:space="preserve">Yedekleme, hata logları, ön test fazı, modüler düzeltme</w:t>
            </w:r>
          </w:p>
        </w:tc>
      </w:tr>
      <w:tr>
        <w:tc>
          <w:tcPr/>
          <w:p>
            <w:pPr>
              <w:pStyle w:val="Compact"/>
            </w:pPr>
            <w:r>
              <w:t xml:space="preserve">Klinik veri bütünlüğü eksikliği</w:t>
            </w:r>
          </w:p>
        </w:tc>
        <w:tc>
          <w:tcPr/>
          <w:p>
            <w:pPr>
              <w:pStyle w:val="Compact"/>
            </w:pPr>
            <w:r>
              <w:t xml:space="preserve">Orta</w:t>
            </w:r>
          </w:p>
        </w:tc>
        <w:tc>
          <w:tcPr/>
          <w:p>
            <w:pPr>
              <w:pStyle w:val="Compact"/>
            </w:pPr>
            <w:r>
              <w:t xml:space="preserve">Orta</w:t>
            </w:r>
          </w:p>
        </w:tc>
        <w:tc>
          <w:tcPr/>
          <w:p>
            <w:pPr>
              <w:pStyle w:val="Compact"/>
            </w:pPr>
            <w:r>
              <w:t xml:space="preserve">Rutin verilerle sınırlı analiz, süreç odaklı sonuçların öncelenmesi</w:t>
            </w:r>
          </w:p>
        </w:tc>
      </w:tr>
    </w:tbl>
    <w:bookmarkEnd w:id="49"/>
    <w:bookmarkStart w:id="50" w:name="yaklaşık-bütçe-taslağı"/>
    <w:p>
      <w:pPr>
        <w:pStyle w:val="Heading1"/>
      </w:pPr>
      <w:r>
        <w:t xml:space="preserve">11. Yaklaşık Bütçe Taslağı</w:t>
      </w:r>
    </w:p>
    <w:p>
      <w:pPr>
        <w:pStyle w:val="FirstParagraph"/>
      </w:pPr>
      <w:r>
        <w:t xml:space="preserve">Bu bütçe taslağı, 1002-A’nın 1 Şubat 2026 itibarıyla burs dahil 150.000 TL üst limiti dikkate alınarak hazırlanmıştır. Nihai bütçe, başvuru yapılacak kurumun satın alma ve muhasebe uygulamaları ile PBS kalemlerine göre revize edilmelidir.</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Kalem</w:t>
            </w:r>
          </w:p>
        </w:tc>
        <w:tc>
          <w:tcPr/>
          <w:p>
            <w:pPr>
              <w:pStyle w:val="Compact"/>
              <w:jc w:val="right"/>
            </w:pPr>
            <w:r>
              <w:t xml:space="preserve">Tutar (TL)</w:t>
            </w:r>
          </w:p>
        </w:tc>
        <w:tc>
          <w:tcPr/>
          <w:p>
            <w:pPr>
              <w:pStyle w:val="Compact"/>
            </w:pPr>
            <w:r>
              <w:t xml:space="preserve">Gerekçe</w:t>
            </w:r>
          </w:p>
        </w:tc>
      </w:tr>
      <w:tr>
        <w:tc>
          <w:tcPr/>
          <w:p>
            <w:pPr>
              <w:pStyle w:val="Compact"/>
            </w:pPr>
            <w:r>
              <w:t xml:space="preserve">Bursiyer desteği</w:t>
            </w:r>
          </w:p>
        </w:tc>
        <w:tc>
          <w:tcPr/>
          <w:p>
            <w:pPr>
              <w:pStyle w:val="Compact"/>
              <w:jc w:val="right"/>
            </w:pPr>
            <w:r>
              <w:t xml:space="preserve">36.000</w:t>
            </w:r>
          </w:p>
        </w:tc>
        <w:tc>
          <w:tcPr/>
          <w:p>
            <w:pPr>
              <w:pStyle w:val="Compact"/>
            </w:pPr>
            <w:r>
              <w:t xml:space="preserve">Ücretli çalışan yüksek lisans öğrencisi veya lisans bursiyeri desteği</w:t>
            </w:r>
          </w:p>
        </w:tc>
      </w:tr>
      <w:tr>
        <w:tc>
          <w:tcPr/>
          <w:p>
            <w:pPr>
              <w:pStyle w:val="Compact"/>
            </w:pPr>
            <w:r>
              <w:t xml:space="preserve">Yazılım/sunucu/güvenlik uyarlama giderleri</w:t>
            </w:r>
          </w:p>
        </w:tc>
        <w:tc>
          <w:tcPr/>
          <w:p>
            <w:pPr>
              <w:pStyle w:val="Compact"/>
              <w:jc w:val="right"/>
            </w:pPr>
            <w:r>
              <w:t xml:space="preserve">32.000</w:t>
            </w:r>
          </w:p>
        </w:tc>
        <w:tc>
          <w:tcPr/>
          <w:p>
            <w:pPr>
              <w:pStyle w:val="Compact"/>
            </w:pPr>
            <w:r>
              <w:t xml:space="preserve">Barındırma, güvenlik testleri, teknik uyarlama</w:t>
            </w:r>
          </w:p>
        </w:tc>
      </w:tr>
      <w:tr>
        <w:tc>
          <w:tcPr/>
          <w:p>
            <w:pPr>
              <w:pStyle w:val="Compact"/>
            </w:pPr>
            <w:r>
              <w:t xml:space="preserve">Kullanılabilirlik ve nitel veri çözümleme giderleri</w:t>
            </w:r>
          </w:p>
        </w:tc>
        <w:tc>
          <w:tcPr/>
          <w:p>
            <w:pPr>
              <w:pStyle w:val="Compact"/>
              <w:jc w:val="right"/>
            </w:pPr>
            <w:r>
              <w:t xml:space="preserve">24.000</w:t>
            </w:r>
          </w:p>
        </w:tc>
        <w:tc>
          <w:tcPr/>
          <w:p>
            <w:pPr>
              <w:pStyle w:val="Compact"/>
            </w:pPr>
            <w:r>
              <w:t xml:space="preserve">Görüşme çözümü, kullanıcı testi organizasyonu</w:t>
            </w:r>
          </w:p>
        </w:tc>
      </w:tr>
      <w:tr>
        <w:tc>
          <w:tcPr/>
          <w:p>
            <w:pPr>
              <w:pStyle w:val="Compact"/>
            </w:pPr>
            <w:r>
              <w:t xml:space="preserve">Eğitim materyali, kırtasiye, basılı onam ve bilgilendirme dokümanları</w:t>
            </w:r>
          </w:p>
        </w:tc>
        <w:tc>
          <w:tcPr/>
          <w:p>
            <w:pPr>
              <w:pStyle w:val="Compact"/>
              <w:jc w:val="right"/>
            </w:pPr>
            <w:r>
              <w:t xml:space="preserve">8.000</w:t>
            </w:r>
          </w:p>
        </w:tc>
        <w:tc>
          <w:tcPr/>
          <w:p>
            <w:pPr>
              <w:pStyle w:val="Compact"/>
            </w:pPr>
            <w:r>
              <w:t xml:space="preserve">Saha uygulaması</w:t>
            </w:r>
          </w:p>
        </w:tc>
      </w:tr>
      <w:tr>
        <w:tc>
          <w:tcPr/>
          <w:p>
            <w:pPr>
              <w:pStyle w:val="Compact"/>
            </w:pPr>
            <w:r>
              <w:t xml:space="preserve">Bilimsel toplantı ve yaygınlaştırma giderleri</w:t>
            </w:r>
          </w:p>
        </w:tc>
        <w:tc>
          <w:tcPr/>
          <w:p>
            <w:pPr>
              <w:pStyle w:val="Compact"/>
              <w:jc w:val="right"/>
            </w:pPr>
            <w:r>
              <w:t xml:space="preserve">20.000</w:t>
            </w:r>
          </w:p>
        </w:tc>
        <w:tc>
          <w:tcPr/>
          <w:p>
            <w:pPr>
              <w:pStyle w:val="Compact"/>
            </w:pPr>
            <w:r>
              <w:t xml:space="preserve">Bildiri, poster, yerel toplantı giderleri</w:t>
            </w:r>
          </w:p>
        </w:tc>
      </w:tr>
      <w:tr>
        <w:tc>
          <w:tcPr/>
          <w:p>
            <w:pPr>
              <w:pStyle w:val="Compact"/>
            </w:pPr>
            <w:r>
              <w:t xml:space="preserve">İstatistiksel danışmanlık / veri işleme hizmeti</w:t>
            </w:r>
          </w:p>
        </w:tc>
        <w:tc>
          <w:tcPr/>
          <w:p>
            <w:pPr>
              <w:pStyle w:val="Compact"/>
              <w:jc w:val="right"/>
            </w:pPr>
            <w:r>
              <w:t xml:space="preserve">10.000</w:t>
            </w:r>
          </w:p>
        </w:tc>
        <w:tc>
          <w:tcPr/>
          <w:p>
            <w:pPr>
              <w:pStyle w:val="Compact"/>
            </w:pPr>
            <w:r>
              <w:t xml:space="preserve">Pilot analiz desteği</w:t>
            </w:r>
          </w:p>
        </w:tc>
      </w:tr>
      <w:tr>
        <w:tc>
          <w:tcPr/>
          <w:p>
            <w:pPr>
              <w:pStyle w:val="Compact"/>
            </w:pPr>
            <w:r>
              <w:t xml:space="preserve">Beklenmeyen küçük teknik uyarlamalar için pay</w:t>
            </w:r>
          </w:p>
        </w:tc>
        <w:tc>
          <w:tcPr/>
          <w:p>
            <w:pPr>
              <w:pStyle w:val="Compact"/>
              <w:jc w:val="right"/>
            </w:pPr>
            <w:r>
              <w:t xml:space="preserve">10.000</w:t>
            </w:r>
          </w:p>
        </w:tc>
        <w:tc>
          <w:tcPr/>
          <w:p>
            <w:pPr>
              <w:pStyle w:val="Compact"/>
            </w:pPr>
            <w:r>
              <w:t xml:space="preserve">Sınırlı revizyon ve bakım</w:t>
            </w:r>
          </w:p>
        </w:tc>
      </w:tr>
      <w:tr>
        <w:tc>
          <w:tcPr/>
          <w:p>
            <w:pPr>
              <w:pStyle w:val="Compact"/>
            </w:pPr>
            <w:r>
              <w:rPr>
                <w:b/>
                <w:bCs/>
              </w:rPr>
              <w:t xml:space="preserve">Toplam</w:t>
            </w:r>
          </w:p>
        </w:tc>
        <w:tc>
          <w:tcPr/>
          <w:p>
            <w:pPr>
              <w:pStyle w:val="Compact"/>
              <w:jc w:val="right"/>
            </w:pPr>
            <w:r>
              <w:rPr>
                <w:b/>
                <w:bCs/>
              </w:rPr>
              <w:t xml:space="preserve">140.000</w:t>
            </w:r>
          </w:p>
        </w:tc>
        <w:tc>
          <w:tcPr/>
          <w:p>
            <w:pPr>
              <w:pStyle w:val="Compact"/>
            </w:pPr>
            <w:r>
              <w:rPr>
                <w:b/>
                <w:bCs/>
              </w:rPr>
              <w:t xml:space="preserve">1002-A üst limitinin altında</w:t>
            </w:r>
          </w:p>
        </w:tc>
      </w:tr>
    </w:tbl>
    <w:bookmarkEnd w:id="50"/>
    <w:bookmarkStart w:id="51" w:name="sonuç-ve-beklenen-katma-değer"/>
    <w:p>
      <w:pPr>
        <w:pStyle w:val="Heading1"/>
      </w:pPr>
      <w:r>
        <w:t xml:space="preserve">12. Sonuç ve Beklenen Katma Değer</w:t>
      </w:r>
    </w:p>
    <w:p>
      <w:pPr>
        <w:pStyle w:val="FirstParagraph"/>
      </w:pPr>
      <w:r>
        <w:t xml:space="preserve">Önerilen çalışma, böbrek nakli hastalarında bakımın en kritik alanları olan ilaç uyumu, eğitim, laboratuvar izlemi ve beslenme yönetimini bütünleşik bir dijital platform üzerinde toplamaktadır. Proje, mevcut bir yazılım prototipini bilimsel olarak sınanabilir ve klinik açıdan güvenli bir müdahaleye dönüştürecektir. 1002-A ölçeği açısından bu yaklaşım gerçekçi, ölçülebilir ve çıktıya dönük bir yapı sunmaktadır. Proje sonucunda elde edilecek uygulanabilirlik verileri, daha büyük bütçeli ve kontrollü bir müdahale araştırması için güçlü ön kanıt sağlayacaktır.</w:t>
      </w:r>
    </w:p>
    <w:bookmarkEnd w:id="51"/>
    <w:bookmarkStart w:id="52" w:name="kaynakça"/>
    <w:p>
      <w:pPr>
        <w:pStyle w:val="Heading1"/>
      </w:pPr>
      <w:r>
        <w:t xml:space="preserve">13. Kaynakça</w:t>
      </w:r>
    </w:p>
    <w:p>
      <w:pPr>
        <w:pStyle w:val="Compact"/>
        <w:numPr>
          <w:ilvl w:val="0"/>
          <w:numId w:val="1019"/>
        </w:numPr>
      </w:pPr>
      <w:r>
        <w:t xml:space="preserve">TÜBİTAK. 1002-A Hızlı Destek Modülü. Erişim tarihi: 26.04.2026. https://tubitak.gov.tr/tr/icerik-1002-a-hizli-destek-modulu</w:t>
      </w:r>
    </w:p>
    <w:p>
      <w:pPr>
        <w:pStyle w:val="Compact"/>
        <w:numPr>
          <w:ilvl w:val="0"/>
          <w:numId w:val="1019"/>
        </w:numPr>
      </w:pPr>
      <w:r>
        <w:t xml:space="preserve">T.C. Sağlık Bakanlığı, Hatay İl Sağlık Müdürlüğü. Organ Bağışı Hayat Kurtarır. 07.11.2024. Ekim 2024 verilerine göre organ bekleme listesi bilgisi içermektedir. https://hatayism.saglik.gov.tr/TR-327400/organ-bagisi-hayat-kurtarir.html</w:t>
      </w:r>
    </w:p>
    <w:p>
      <w:pPr>
        <w:pStyle w:val="Compact"/>
        <w:numPr>
          <w:ilvl w:val="0"/>
          <w:numId w:val="1019"/>
        </w:numPr>
      </w:pPr>
      <w:r>
        <w:t xml:space="preserve">Butler JA, Roderick P, Mullee M, Mason JC, Peveler RC. Frequency and impact of nonadherence to immunosuppressants after renal transplantation: a systematic review. Transplantation. 2004;77(5):769-776. doi:10.1097/01.TP.0000110408.83054.88. https://pubmed.ncbi.nlm.nih.gov/15021846/</w:t>
      </w:r>
    </w:p>
    <w:p>
      <w:pPr>
        <w:pStyle w:val="Compact"/>
        <w:numPr>
          <w:ilvl w:val="0"/>
          <w:numId w:val="1019"/>
        </w:numPr>
      </w:pPr>
      <w:r>
        <w:t xml:space="preserve">Dew MA, DiMartini AF, De Vito Dabbs A, et al. Understanding Medication Nonadherence after Kidney Transplant. Clin J Am Soc Nephrol. 2017;12(8):1309-1324. https://pmc.ncbi.nlm.nih.gov/articles/PMC5533244/</w:t>
      </w:r>
    </w:p>
    <w:p>
      <w:pPr>
        <w:pStyle w:val="Compact"/>
        <w:numPr>
          <w:ilvl w:val="0"/>
          <w:numId w:val="1019"/>
        </w:numPr>
      </w:pPr>
      <w:r>
        <w:t xml:space="preserve">Torres-Gutiérrez M, Lozano-Suárez N, Burgos-Camacho VA, et al. Is Non-Adherence Associated with Adverse Outcomes in Kidney Transplant Recipients? Patient Prefer Adherence. 2023;17:3061-3070. https://pubmed.ncbi.nlm.nih.gov/38027086/</w:t>
      </w:r>
    </w:p>
    <w:p>
      <w:pPr>
        <w:pStyle w:val="Compact"/>
        <w:numPr>
          <w:ilvl w:val="0"/>
          <w:numId w:val="1019"/>
        </w:numPr>
      </w:pPr>
      <w:r>
        <w:t xml:space="preserve">KDIGO. Clinical Practice Guideline for the Care of Kidney Transplant Recipients. Guideline landing page: https://kdigo.org/guidelines/transplant-recipient/</w:t>
      </w:r>
    </w:p>
    <w:p>
      <w:pPr>
        <w:pStyle w:val="Compact"/>
        <w:numPr>
          <w:ilvl w:val="0"/>
          <w:numId w:val="1019"/>
        </w:numPr>
      </w:pPr>
      <w:r>
        <w:t xml:space="preserve">Eslami S, Khoshrounejad F, Golmakani R, et al. Effectiveness of IT-based interventions on self-management in adult kidney transplant recipients: a systematic review. BMC Med Inform Decis Mak. 2021;21:2. https://pubmed.ncbi.nlm.nih.gov/33388049/</w:t>
      </w:r>
    </w:p>
    <w:p>
      <w:pPr>
        <w:pStyle w:val="Compact"/>
        <w:numPr>
          <w:ilvl w:val="0"/>
          <w:numId w:val="1019"/>
        </w:numPr>
      </w:pPr>
      <w:r>
        <w:t xml:space="preserve">Barzegar Nazari E, et al. Effectiveness of mobile health-based self-management application for posttransplant cares: A systematic review. Health Sci Rep. 2021;4(4):e434. https://pubmed.ncbi.nlm.nih.gov/34869915/</w:t>
      </w:r>
    </w:p>
    <w:p>
      <w:pPr>
        <w:pStyle w:val="Compact"/>
        <w:numPr>
          <w:ilvl w:val="0"/>
          <w:numId w:val="1019"/>
        </w:numPr>
      </w:pPr>
      <w:r>
        <w:t xml:space="preserve">Xie X, Wang X, Li A, et al. A Study of the Effectiveness of Mobile Health Application in a Self-management Intervention for Kidney Transplant Patients. Iran J Kidney Dis. 2023;17(5):263-270. https://pubmed.ncbi.nlm.nih.gov/37838936/</w:t>
      </w:r>
    </w:p>
    <w:p>
      <w:pPr>
        <w:pStyle w:val="Compact"/>
        <w:numPr>
          <w:ilvl w:val="0"/>
          <w:numId w:val="1019"/>
        </w:numPr>
      </w:pPr>
      <w:r>
        <w:t xml:space="preserve">Lee H, Kang CM. Self-Management Interventions for Kidney Transplant Recipients: A Systematic Review. Healthcare (Basel). 2025;13(15):1918. https://pubmed.ncbi.nlm.nih.gov/40805950/</w:t>
      </w:r>
    </w:p>
    <w:bookmarkEnd w:id="52"/>
    <w:bookmarkStart w:id="53" w:name="başvuru-öncesi-kurumsal-uyarlama-notları"/>
    <w:p>
      <w:pPr>
        <w:pStyle w:val="Heading1"/>
      </w:pPr>
      <w:r>
        <w:t xml:space="preserve">14. Başvuru Öncesi Kurumsal Uyarlama Notları</w:t>
      </w:r>
    </w:p>
    <w:p>
      <w:pPr>
        <w:pStyle w:val="FirstParagraph"/>
      </w:pPr>
      <w:r>
        <w:t xml:space="preserve">Bu metin, proje fikrinin bilimsel ve idari omurgasını oluşturmak amacıyla hazırlanmış tam metin bir taslaktır. Resmi başvuru öncesinde aşağıdaki alanların başvuru sahibince doldurulması gerekir:</w:t>
      </w:r>
    </w:p>
    <w:p>
      <w:pPr>
        <w:pStyle w:val="Compact"/>
        <w:numPr>
          <w:ilvl w:val="0"/>
          <w:numId w:val="1020"/>
        </w:numPr>
      </w:pPr>
      <w:r>
        <w:t xml:space="preserve">Yürütücü ve araştırmacı adları, ORCID bilgileri.</w:t>
      </w:r>
    </w:p>
    <w:p>
      <w:pPr>
        <w:pStyle w:val="Compact"/>
        <w:numPr>
          <w:ilvl w:val="0"/>
          <w:numId w:val="1020"/>
        </w:numPr>
      </w:pPr>
      <w:r>
        <w:t xml:space="preserve">Kurum adı ve altyapı olanakları.</w:t>
      </w:r>
    </w:p>
    <w:p>
      <w:pPr>
        <w:pStyle w:val="Compact"/>
        <w:numPr>
          <w:ilvl w:val="0"/>
          <w:numId w:val="1020"/>
        </w:numPr>
      </w:pPr>
      <w:r>
        <w:t xml:space="preserve">Etik kurul başvuru bilgileri.</w:t>
      </w:r>
    </w:p>
    <w:p>
      <w:pPr>
        <w:pStyle w:val="Compact"/>
        <w:numPr>
          <w:ilvl w:val="0"/>
          <w:numId w:val="1020"/>
        </w:numPr>
      </w:pPr>
      <w:r>
        <w:t xml:space="preserve">Nihai bütçe kalemlerinin kurum muhasebe diline uyarlanması.</w:t>
      </w:r>
    </w:p>
    <w:p>
      <w:pPr>
        <w:pStyle w:val="Compact"/>
        <w:numPr>
          <w:ilvl w:val="0"/>
          <w:numId w:val="1020"/>
        </w:numPr>
      </w:pPr>
      <w:r>
        <w:t xml:space="preserve">Çalışmanın yürütüleceği transplant merkezine göre örneklem ve rutin laboratuvar planının netleştirilmesi.</w:t>
      </w:r>
    </w:p>
    <w:p>
      <w:pPr>
        <w:pStyle w:val="FirstParagraph"/>
      </w:pPr>
      <w:r>
        <w:t xml:space="preserve">Mevcut haliyle doküman, TÜBİTAK 1002-A başvurusu için proje anlatımını ve araştırma mantığını kuran, Word formatına dönüştürülmeye uygun kapsamlı bir taslaktır.</w:t>
      </w:r>
    </w:p>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tr-T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TÜBİTAK 1002-A Proje Taslağı</dc:title>
  <dc:creator>Taslak Başvuru Metni</dc:creator>
  <dc:language>tr-TR</dc:language>
  <cp:keywords/>
  <dcterms:created xsi:type="dcterms:W3CDTF">2026-04-26T13:31:16Z</dcterms:created>
  <dcterms:modified xsi:type="dcterms:W3CDTF">2026-04-26T13:31:16Z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26 Nisan 2026</vt:lpwstr>
  </property>
  <property fmtid="{D5CDD505-2E9C-101B-9397-08002B2CF9AE}" pid="3" name="subtitle">
    <vt:lpwstr>Böbrek Nakli Hastalarında İlaç Uyumu ve Öz-Yönetimi Destekleyen Yapay Zekâ Destekli Çok Disiplinli Dijital Takip Platformunun Geliştirilmesi ve Ön Değerlendirilmesi</vt:lpwstr>
  </property>
  <property fmtid="{D5CDD505-2E9C-101B-9397-08002B2CF9AE}" pid="4" name="toc-title">
    <vt:lpwstr>İçindekiler</vt:lpwstr>
  </property>
</Properties>
</file>