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So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Five bodies of work bear on the question this paper asks, and each stops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Trivedi and Rajmal (2011) estimate fixed-effects panels across fourteen major states and find that gross fiscal deficits reduce subsequent growth, attributing the effect to the crowding out of private investment and to the higher borrowing costs a deficit state faces.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Misra, Gupta and Trivedi (2023) and the NIPFP (2024) between them establish that debt levels differ meaningfully across states and that the differences persist rather than converge over time, but neither asks what that debt means to an investor. The NIPFP threshold estimate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literature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Feld, Köhler, Palhuca and Schaltegger (2024) provide the closest empirical antecedent. Across a panel of federal economies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lastRenderedPageBreak/>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Both values are carried through as the source reports them, and Section 6.5 tests the sensitivity of every estimate to dropping Jharkhand entirely.</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Derived: GFD minus RD (FC-16 Annex 5.1 - 5.2); includes net lending. Cross-check cols = exact capital outlay from state budget docs (Forum for State Studies) columns show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The first figure below totals this table by state; the second plots it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Composite_Score(avg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lastRenderedPageBreak/>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and unlike the NITI Aayog index this paper criticises in Section 2, the ranking here is checked against an outcome rather than asserted on its own terms.</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Model 1:  ln(FDI)_it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w:t>
      </w:r>
      <w:r>
        <w:lastRenderedPageBreak/>
        <w:t>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w:t>
      </w:r>
      <w:r>
        <w:lastRenderedPageBreak/>
        <w:t>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lastRenderedPageBreak/>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t xml:space="preserve">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w:t>
      </w:r>
      <w:r>
        <w:lastRenderedPageBreak/>
        <w:t>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w:t>
      </w:r>
      <w:r>
        <w:lastRenderedPageBreak/>
        <w:t>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The fixed-effects specification (n = 48, within R² = 0.429, F(5,33)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(F(9,33) = 6.74, p &lt; 0.001), confirming that state fixed effects are doing real work in this model and that pooling would be misspecified here.</w:t>
      </w:r>
    </w:p>
    <w:p w14:paraId="3566975E" w14:textId="77777777" w:rsidR="00B46976" w:rsidRDefault="00000000">
      <w:pPr>
        <w:jc w:val="both"/>
      </w:pPr>
      <w:r>
        <w:t xml:space="preserve">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w:t>
      </w:r>
      <w:r>
        <w:lastRenderedPageBreak/>
        <w:t>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3BC9BDCD" w14:textId="77777777" w:rsidR="00E02EA1" w:rsidRDefault="00E02EA1">
      <w:pPr>
        <w:jc w:val="both"/>
      </w:pPr>
    </w:p>
    <w:p w14:paraId="45833458" w14:textId="77777777" w:rsidR="005038C4" w:rsidRDefault="00000000">
      <w:pPr>
        <w:spacing w:after="40"/>
        <w:jc w:val="both"/>
      </w:pPr>
      <w:r>
        <w:rPr>
          <w:b/>
        </w:rPr>
        <w:t>Table 19. Model 1, log(FDI),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(F(9,35)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whole time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w:t>
      </w:r>
      <w:r>
        <w:lastRenderedPageBreak/>
        <w:t>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r>
              <w:rPr>
                <w:sz w:val="18"/>
              </w:rPr>
              <w:t>P(debt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r>
              <w:rPr>
                <w:sz w:val="18"/>
              </w:rPr>
              <w:t>P(gap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 xml:space="preserve">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One qualification belongs with that list rather than in a footnote. Of the five methods, the </w:t>
      </w:r>
      <w:r>
        <w:lastRenderedPageBreak/>
        <w:t>Spearman correlation of Section 6.2 reaches significance only once Uttar Pradesh is excluded, and Section 7.3 shows that the exclusion cannot be justified as removing a pure censoring artefact, since scaling the state’s observed years leaves the correlation insignificant. That leg of the convergence is therefore conditional, and the argument should be read as resting on the four that are not: the pooled regression, LASSO, Elastic Net and SHAP importance.</w:t>
      </w:r>
    </w:p>
    <w:p w14:paraId="66C260ED" w14:textId="77777777" w:rsidR="008023A7" w:rsidRDefault="00000000">
      <w:pPr>
        <w:pStyle w:val="Heading2"/>
      </w:pPr>
      <w:r>
        <w:t>6.7 Specification and diagnostic tests</w:t>
      </w:r>
    </w:p>
    <w:p w14:paraId="4A0D4C2C" w14:textId="77777777" w:rsidR="00C959F9" w:rsidRDefault="00000000">
      <w:pPr>
        <w:jc w:val="both"/>
      </w:pPr>
      <w:r>
        <w:t>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AR(1)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this changes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available, and they still disagree.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the one state whose FDI series is an accounting artefact rather than a genuine low outcome is set aside.</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Table 35. Debt coefficient in a Mundlak (correlated random effects) specification of Model 1, which separates within-state from between-state variation in a single equation, and in a between estimator fitted to the ten state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50F326EB" w14:textId="77777777" w:rsidR="00B46976" w:rsidRDefault="00000000">
      <w:pPr>
        <w:jc w:val="both"/>
      </w:pPr>
      <w:r>
        <w:t xml:space="preserve">Uttar Pradesh is the mirror case, and its anomaly is one of measurement rather than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w:t>
      </w:r>
      <w:r>
        <w:lastRenderedPageBreak/>
        <w:t>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and Section 6.6 records what that means for the convergence argument.</w:t>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14:paraId="2AB03095"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t>
      </w:r>
      <w:r>
        <w:lastRenderedPageBreak/>
        <w:t>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and nothing in this design separates it from a fiscal signal. It is, alongside agglomeration, the alternative account we regard as most likely to survive scrutiny of the central result.</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t>A state needs to understand what its own accounts are saying. For groups like the Finance Commission, NITI Aayog and investment-promotion bodies there is a lesson. Rankings of states by discipline are only useful if they can be connected to real outcomes, like investment and growth. Otherwise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r/>
      <w:r w:rsidRPr="00C46D25"/>
      <w:r/>
      <w:r w:rsidRPr="00C46D25"/>
      <w:r/>
      <w:r w:rsidRPr="00C46D25"/>
      <w:r/>
      <w:r w:rsidRPr="00C46D25"/>
      <w:r/>
      <w:r w:rsidRPr="00C46D25"/>
      <w:r/>
      <w:r w:rsidRPr="00C46D25"/>
      <w:r/>
      <w:r w:rsidRPr="00C46D25"/>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t xml:space="preserve">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w:t>
      </w:r>
      <w:r>
        <w:lastRenderedPageBreak/>
        <w:t>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is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lastRenderedPageBreak/>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lastRenderedPageBreak/>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Pages>
  <Words>22622</Words>
  <Characters>128948</Characters>
  <Application>Microsoft Office Word</Application>
  <DocSecurity>0</DocSecurity>
  <Lines>1074</Lines>
  <Paragraphs>302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24</cp:revision>
  <dcterms:created xsi:type="dcterms:W3CDTF">2026-07-25T07:06:00Z</dcterms:created>
  <dcterms:modified xsi:type="dcterms:W3CDTF">2026-08-04T13:22:00Z</dcterms:modified>
  <cp:category/>
</cp:coreProperties>
</file>