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receive more FDI than their peers. The association is large and it survives every robustness check we apply, though at ten clusters the wild cluster bootstrap this paper defers to puts the pooled coefficient at p = 0.057, significant at ten per cent rather than five; the claim rests on the agreement of several methods rather than on that one p-value. The relationship holds between states rather than within a given state from year to year, a split confirmed inside a single Mundlak specification in which the two coefficients differ at a bootstrapped p = 0.017,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not approximate: gross fiscal deficit minus revenue deficit reproduces the published capital expenditure figure exactly, to the last decimal, in all fifty cells. Derived capital expenditure is therefore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w:t>
      </w:r>
      <w:proofErr w:type="gramStart"/>
      <w:r>
        <w:t>ten state</w:t>
      </w:r>
      <w:proofErr w:type="gramEnd"/>
      <w:r>
        <w:t xml:space="preserv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w:t>
      </w:r>
      <w:r>
        <w:lastRenderedPageBreak/>
        <w:t>factors are computed for the four fiscal regressors, interpreted against the cautions in O’Brien (2007), 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w:t>
      </w:r>
      <w:r>
        <w:lastRenderedPageBreak/>
        <w:t>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0.037)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w:t>
      </w:r>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State finance departments should weigh three things. First, the payoff is not immediate: a state building a reputation for discipline is making an investment that pays off over several years, not a single budget cycle, and should not expect a small debt reduction to move investment inflows right away. Second, of the available fiscal metrics, debt is the one this paper's evidence points to as easiest to communicate and verify, and it is the stock of debt rather than any single year's addition to it that appears to matter for investment. We attach no growth recommendation to any of the four indicators, because Section 6.5 shows this panel cannot identify a fiscal effect on growth once common year shocks are absorbed. Third, how capital expenditure is financed matters as much as its level: spending funded from existing revenue is a different signal to an investor than the same spending funded by fresh borrowing.</w:t>
      </w:r>
    </w:p>
    <w:p w14:paraId="09E5106F" w14:textId="77777777" w:rsidR="001B0F76" w:rsidRDefault="00C46D25" w:rsidP="00C46D25">
      <w:pPr>
        <w:jc w:val="both"/>
      </w:pPr>
      <w:r w:rsidRPr="00C46D25">
        <w:lastRenderedPageBreak/>
        <w:t xml:space="preserve">A state needs to understand what its own accounts are saying. For groups like the Finance Commission, NITI Aayog and investment-promotion bodies there is a lesson. Rankings of states by discipline are only useful if they can be connected to real outcomes, like investment and growth. </w:t>
      </w:r>
      <w:proofErr w:type="gramStart"/>
      <w:r w:rsidRPr="00C46D25">
        <w:t>Otherwise</w:t>
      </w:r>
      <w:proofErr w:type="gramEnd"/>
      <w:r w:rsidRPr="00C46D25">
        <w:t xml:space="preserve"> these rankings are numbers. It would be better to report these rankings alongside outcomes like how much investment a state receives or how fast it grows. This would make it possible to test and improve the rankings. We did this with our ranking, which is explained in detail so anyone can understand and challenge it. We also tested our ranking, against outcomes and reported the results even when they were not what we expected.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Uttar Pradesh cuts the other way and is the harder case. Part of its weak investment record is an artefact of when DPIIT began reporting the series, but only part: scaling its three observed years to a five-year equivalent still leaves it ninth of ten, so it stands as a genuine counterexample to its own first place on the ranking. A state can lead on these four indicators and still not attract investment.</w:t>
      </w:r>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