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lastRenderedPageBreak/>
        <w:t xml:space="preserve">A state needs to understand what its own accounts are saying. For groups like the Finance Commission, NITI Aayog and investment-promotion bodies there is a lesson. Rankings of states by discipline are only useful if they can be connected to real outcomes, like investment and growth. </w:t>
      </w:r>
      <w:proofErr w:type="gramStart"/>
      <w:r w:rsidRPr="00C46D25">
        <w:t>Otherwise</w:t>
      </w:r>
      <w:proofErr w:type="gramEnd"/>
      <w:r w:rsidRPr="00C46D25">
        <w:t xml:space="preserv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