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Foreign Direct Investment across Indian States: What a Ten-State Panel Can and Cannot Identify,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cross-checked against a non-parametric rank correlation and against machine-learning methods from two families: regularised linear selection, as LASSO with an Elastic Net cross-check, and SHAP-based random forest importance. States carrying persistently lower public debt receive more FDI than their peers. The association is large, it is reproduced by every method we apply, and it holds between states rather than within a given state from year to year, a split confirmed inside a single Mundlak specification in which the two coefficients differ at a bootstrapped p = 0.017. It is nonetheless not a finding we can attribute to fiscal policy. The low-debt states in this sample are western and southern and the high-debt states northern and eastern, seventy-one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 Two states depart from the general pattern for identifiable reasons and are examined individually. 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t xml:space="preserve"> A third alternative is sharper than either of those because it can be tested directly, and the test does not go this paper's way. Group the ten states by region and the debt ordering is largely a regional ordering: mean debt runs 20.6 per cent of GSDP in the west, 26.2 in the south, 32.9 in the north and 34.5 in the east, and 71 per cent of the cross-state variance in debt lies between those four groups rather than within them.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survives every robustness check the paper applies,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09E5106F" w14:textId="77777777" w:rsidR="001B0F76" w:rsidRDefault="00C46D25" w:rsidP="00C46D25">
      <w:pPr>
        <w:jc w:val="both"/>
      </w:pPr>
      <w:r w:rsidRPr="00C46D25">
        <w:t>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realised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realised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roofErr w:type="gramStart"/>
      <w:r w:rsidRPr="00C46D25"/>
      <w:proofErr w:type="gramEnd"/>
      <w:r w:rsidRPr="00C46D25"/>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