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Foreign Direct Investment across Indian States: What a Ten-State Panel Can and Cannot Identify,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and finds that a panel of this size cannot settle the question.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cross-checked against a non-parametric rank correlation and against machine-learning methods from two families: regularised linear selection, as LASSO with an Elastic Net cross-check, and SHAP-based random forest importance. States carrying persistently lower public debt receive more FDI than their peers. The association is large, it is reproduced by every method we apply, and it holds between states rather than within a given state from year to year, a split confirmed inside a single Mundlak specification in which the two coefficients differ at a bootstrapped p = 0.017. It is nonetheless not a finding we can attribute to fiscal policy. The low-debt states in this sample are western and southern and the high-debt states northern and eastern, seventy-one per cent of the cross-state variation in debt lies between those groups, and once regional indicators enter the equation the debt coefficient is indistinguishable from zero. Ten states across four regions cannot separate a fiscal signal from whatever else is regional, and we report that as the central limitation rather than as a caveat. The growth hypothesis fails outright: coefficients that appear significant when the pandemic is absorbed by a single dummy do not survive a full set of year fixed effects. Two states depart from the general pattern for identifiable reasons and are examined individually. Every fiscal figure in the paper is verified against the Finance Commission annexures, the analysis is reproducible from the published tables alone, and the composite ranking we construct is reported together with the finding that a single indicator outperforms it. The contribution is a design and an audit trail for a question that a wider panel will have to answer.</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regression in Sections 6 and 7 from the raw numbers, without taking any intermediate step on faith. One column of one table is the exception, and Section 6.2 identifies it.</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 xml:space="preserve">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Palhuca and Schaltegger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the largest recipients of FDI equity inflow among the states the Sixteenth Finance Commission reports on. Both halves of that sentence do work, and the qualification is not cosmetic. Read off DPIIT's table alone the tenth place would go to Delhi, which ranks fourth on cumulative inflow since October 2019 and ahead of six states in this sample, and West Bengal would fall outside the ten. Delhi is a union territory with a legislature rather than a state, and it does not appear anywhere in the FC-16 annexures, so none of the four fiscal indicators this paper is built on exists for it. The exclusion is forced by the fiscal source rather than chosen, and West Bengal enters in its place. Anyone comparing this sample against DPIIT's ranking directly should expect that one substitution and no other.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regression variable used anywhere in this paper is reproducible from the tables in this section, with the single exception noted in Section 6.2: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Two further things can be said about that cell without leaving the published data. It sits oddly against the debt series: Jharkhand's outstanding liabilities rise by 2,040 crore over FY 2021-22, in a year the accounts record no net borrowing requirement at all. Across the other thirty-nine state-years in the panel the change in the debt stock divided by that year's deficit runs between 0.49 and 2.47; this is the only cell where the ratio is undefined. Rounding explains part of it, since any true deficit within about 188 crore of zero prints as 0.0 at one decimal place, but 2,040 crore is an order of magnitude beyond that band, so either the deficit understates the year's borrowing or the liabilities rose for reasons outside the deficit, and the annexures as published do not let a reader tell which. The consequence is contained. No estimate in the paper turns on the cell: replacing it with any value between 0.5 and 1.5 per cent of GSDP, or dropping the state-year altogether, moves the pooled debt coefficient only between -0.176 and -0.156 and leaves it significant throughout, and moves the within-state coefficient from +0.353 to at most +0.377. The ranking is more exposed: the cell carries Jharkhand's five-year average deficit to 1.92 and with it second place of ten on that indicator, where any value from 0.5 upward would put it fourth. Both values are carried through as the source reports them, and Section 6.5 tests the sensitivity of every estimate to dropping Jharkhand entirely. One further property of the derivation matters more than the noise, and we state it here because it governs how the variable can be read anywhere it appears. The identity is not approximate: gross fiscal deficit minus revenue deficit reproduces the published capital expenditure figure exactly, to the last decimal, in all fifty cells. Derived capital expenditure is therefore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5-yr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5yr_Average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5-yr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5yr_Average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5-yr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5yr_Average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5-yr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5yr_Average</w:t>
            </w:r>
          </w:p>
        </w:tc>
        <w:tc>
          <w:tcPr>
            <w:tcW w:w="971" w:type="dxa"/>
            <w:shd w:val="clear" w:color="auto" w:fill="D9D9D9"/>
          </w:tcPr>
          <w:p w14:paraId="507A9E24" w14:textId="77777777" w:rsidR="005038C4" w:rsidRDefault="00000000">
            <w:pPr>
              <w:spacing w:before="20" w:after="20"/>
            </w:pPr>
            <w:r>
              <w:rPr>
                <w:b/>
                <w:sz w:val="16"/>
              </w:rPr>
              <w:t>CrossCheck_CapOutlay_FY2022-23_A</w:t>
            </w:r>
          </w:p>
        </w:tc>
        <w:tc>
          <w:tcPr>
            <w:tcW w:w="971" w:type="dxa"/>
            <w:shd w:val="clear" w:color="auto" w:fill="D9D9D9"/>
          </w:tcPr>
          <w:p w14:paraId="0B119D47" w14:textId="77777777" w:rsidR="005038C4" w:rsidRDefault="00000000">
            <w:pPr>
              <w:spacing w:before="20" w:after="20"/>
            </w:pPr>
            <w:r>
              <w:rPr>
                <w:b/>
                <w:sz w:val="16"/>
              </w:rPr>
              <w:t>CrossCheck_CapOutlay_FY2023-24_RE</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5-yr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5yr_Average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w:t>
            </w:r>
            <w:proofErr w:type="gramStart"/>
            <w:r>
              <w:rPr>
                <w:b/>
                <w:sz w:val="16"/>
              </w:rPr>
              <w:t>Score(</w:t>
            </w:r>
            <w:proofErr w:type="gramEnd"/>
            <w:r>
              <w:rPr>
                <w:b/>
                <w:sz w:val="16"/>
              </w:rPr>
              <w:t>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 xml:space="preserve">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The honest reading is not that the weights are </w:t>
      </w:r>
      <w:r>
        <w:t>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 xml:space="preserve">Model 1:  </w:t>
      </w:r>
      <w:proofErr w:type="gramStart"/>
      <w:r>
        <w:rPr>
          <w:i/>
        </w:rPr>
        <w:t>ln(</w:t>
      </w:r>
      <w:proofErr w:type="gramEnd"/>
      <w:r>
        <w:rPr>
          <w:i/>
        </w:rPr>
        <w:t>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signalling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roofErr w:type="gramStart"/>
      <w:r/>
      <w:proofErr w:type="gramEnd"/>
      <w:r/>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w:t>
      </w:r>
      <w:r>
        <w:lastRenderedPageBreak/>
        <w:t>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lastRenderedPageBreak/>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Unnamed: 0</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lastRenderedPageBreak/>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urbanisation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Fiscal_Discipline_Composite_Rank</w:t>
            </w:r>
          </w:p>
        </w:tc>
        <w:tc>
          <w:tcPr>
            <w:tcW w:w="1553" w:type="dxa"/>
            <w:shd w:val="clear" w:color="auto" w:fill="D9D9D9"/>
          </w:tcPr>
          <w:p w14:paraId="5AF6D759" w14:textId="77777777" w:rsidR="005038C4" w:rsidRDefault="00000000">
            <w:pPr>
              <w:spacing w:before="20" w:after="20"/>
            </w:pPr>
            <w:r>
              <w:rPr>
                <w:b/>
                <w:sz w:val="18"/>
              </w:rPr>
              <w:t>FDI_5yr_Total_INRcr</w:t>
            </w:r>
          </w:p>
        </w:tc>
        <w:tc>
          <w:tcPr>
            <w:tcW w:w="1553" w:type="dxa"/>
            <w:shd w:val="clear" w:color="auto" w:fill="D9D9D9"/>
          </w:tcPr>
          <w:p w14:paraId="4AB04913" w14:textId="77777777" w:rsidR="005038C4" w:rsidRDefault="00000000">
            <w:pPr>
              <w:spacing w:before="20" w:after="20"/>
            </w:pPr>
            <w:r>
              <w:rPr>
                <w:b/>
                <w:sz w:val="18"/>
              </w:rPr>
              <w:t>FDI_Rank</w:t>
            </w:r>
          </w:p>
        </w:tc>
        <w:tc>
          <w:tcPr>
            <w:tcW w:w="1553" w:type="dxa"/>
            <w:shd w:val="clear" w:color="auto" w:fill="D9D9D9"/>
          </w:tcPr>
          <w:p w14:paraId="67F02C46" w14:textId="77777777" w:rsidR="005038C4" w:rsidRDefault="00000000">
            <w:pPr>
              <w:spacing w:before="20" w:after="20"/>
            </w:pPr>
            <w:r>
              <w:rPr>
                <w:b/>
                <w:sz w:val="18"/>
              </w:rPr>
              <w:t>PerCapita_GSDP_2023-24_INR</w:t>
            </w:r>
          </w:p>
        </w:tc>
        <w:tc>
          <w:tcPr>
            <w:tcW w:w="1553" w:type="dxa"/>
            <w:shd w:val="clear" w:color="auto" w:fill="D9D9D9"/>
          </w:tcPr>
          <w:p w14:paraId="03DF797C" w14:textId="77777777" w:rsidR="005038C4" w:rsidRDefault="00000000">
            <w:pPr>
              <w:spacing w:before="20" w:after="20"/>
            </w:pPr>
            <w:r>
              <w:rPr>
                <w:b/>
                <w:sz w:val="18"/>
              </w:rPr>
              <w:t>PC_GSDP_Rank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2.0</w:t>
            </w:r>
          </w:p>
        </w:tc>
        <w:tc>
          <w:tcPr>
            <w:tcW w:w="1553" w:type="dxa"/>
          </w:tcPr>
          <w:p w14:paraId="5BB51B37" w14:textId="77777777" w:rsidR="005038C4" w:rsidRDefault="00000000">
            <w:pPr>
              <w:spacing w:before="20" w:after="20"/>
            </w:pPr>
            <w:r>
              <w:rPr>
                <w:sz w:val="18"/>
              </w:rPr>
              <w:t>530294.0</w:t>
            </w:r>
          </w:p>
        </w:tc>
        <w:tc>
          <w:tcPr>
            <w:tcW w:w="1553" w:type="dxa"/>
          </w:tcPr>
          <w:p w14:paraId="4DE2022B" w14:textId="77777777" w:rsidR="005038C4" w:rsidRDefault="00000000">
            <w:pPr>
              <w:spacing w:before="20" w:after="20"/>
            </w:pPr>
            <w:r>
              <w:rPr>
                <w:sz w:val="18"/>
              </w:rPr>
              <w:t>1.0</w:t>
            </w:r>
          </w:p>
        </w:tc>
        <w:tc>
          <w:tcPr>
            <w:tcW w:w="1553" w:type="dxa"/>
          </w:tcPr>
          <w:p w14:paraId="727A08C1" w14:textId="77777777" w:rsidR="005038C4" w:rsidRDefault="00000000">
            <w:pPr>
              <w:spacing w:before="20" w:after="20"/>
            </w:pPr>
            <w:r>
              <w:rPr>
                <w:sz w:val="18"/>
              </w:rPr>
              <w:t>319474.0</w:t>
            </w:r>
          </w:p>
        </w:tc>
        <w:tc>
          <w:tcPr>
            <w:tcW w:w="1553" w:type="dxa"/>
          </w:tcPr>
          <w:p w14:paraId="4EAECBD9" w14:textId="77777777" w:rsidR="005038C4" w:rsidRDefault="00000000">
            <w:pPr>
              <w:spacing w:before="20" w:after="20"/>
            </w:pPr>
            <w:r>
              <w:rPr>
                <w:sz w:val="18"/>
              </w:rPr>
              <w:t>6.0</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5.0</w:t>
            </w:r>
          </w:p>
        </w:tc>
        <w:tc>
          <w:tcPr>
            <w:tcW w:w="1553" w:type="dxa"/>
          </w:tcPr>
          <w:p w14:paraId="18B5CB8A" w14:textId="77777777" w:rsidR="005038C4" w:rsidRDefault="00000000">
            <w:pPr>
              <w:spacing w:before="20" w:after="20"/>
            </w:pPr>
            <w:r>
              <w:rPr>
                <w:sz w:val="18"/>
              </w:rPr>
              <w:t>389480.0</w:t>
            </w:r>
          </w:p>
        </w:tc>
        <w:tc>
          <w:tcPr>
            <w:tcW w:w="1553" w:type="dxa"/>
          </w:tcPr>
          <w:p w14:paraId="114E34B1" w14:textId="77777777" w:rsidR="005038C4" w:rsidRDefault="00000000">
            <w:pPr>
              <w:spacing w:before="20" w:after="20"/>
            </w:pPr>
            <w:r>
              <w:rPr>
                <w:sz w:val="18"/>
              </w:rPr>
              <w:t>2.0</w:t>
            </w:r>
          </w:p>
        </w:tc>
        <w:tc>
          <w:tcPr>
            <w:tcW w:w="1553" w:type="dxa"/>
          </w:tcPr>
          <w:p w14:paraId="00482FB0" w14:textId="77777777" w:rsidR="005038C4" w:rsidRDefault="00000000">
            <w:pPr>
              <w:spacing w:before="20" w:after="20"/>
            </w:pPr>
            <w:r>
              <w:rPr>
                <w:sz w:val="18"/>
              </w:rPr>
              <w:t>376402.0</w:t>
            </w:r>
          </w:p>
        </w:tc>
        <w:tc>
          <w:tcPr>
            <w:tcW w:w="1553" w:type="dxa"/>
          </w:tcPr>
          <w:p w14:paraId="6C5A2E0E" w14:textId="77777777" w:rsidR="005038C4" w:rsidRDefault="00000000">
            <w:pPr>
              <w:spacing w:before="20" w:after="20"/>
            </w:pPr>
            <w:r>
              <w:rPr>
                <w:sz w:val="18"/>
              </w:rPr>
              <w:t>2.0</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4.0</w:t>
            </w:r>
          </w:p>
        </w:tc>
        <w:tc>
          <w:tcPr>
            <w:tcW w:w="1553" w:type="dxa"/>
          </w:tcPr>
          <w:p w14:paraId="26878BE2" w14:textId="77777777" w:rsidR="005038C4" w:rsidRDefault="00000000">
            <w:pPr>
              <w:spacing w:before="20" w:after="20"/>
            </w:pPr>
            <w:r>
              <w:rPr>
                <w:sz w:val="18"/>
              </w:rPr>
              <w:t>299622.0</w:t>
            </w:r>
          </w:p>
        </w:tc>
        <w:tc>
          <w:tcPr>
            <w:tcW w:w="1553" w:type="dxa"/>
          </w:tcPr>
          <w:p w14:paraId="390E2C87" w14:textId="77777777" w:rsidR="005038C4" w:rsidRDefault="00000000">
            <w:pPr>
              <w:spacing w:before="20" w:after="20"/>
            </w:pPr>
            <w:r>
              <w:rPr>
                <w:sz w:val="18"/>
              </w:rPr>
              <w:t>3.0</w:t>
            </w:r>
          </w:p>
        </w:tc>
        <w:tc>
          <w:tcPr>
            <w:tcW w:w="1553" w:type="dxa"/>
          </w:tcPr>
          <w:p w14:paraId="6FCEFF32" w14:textId="77777777" w:rsidR="005038C4" w:rsidRDefault="00000000">
            <w:pPr>
              <w:spacing w:before="20" w:after="20"/>
            </w:pPr>
            <w:r>
              <w:rPr>
                <w:sz w:val="18"/>
              </w:rPr>
              <w:t>336875.0</w:t>
            </w:r>
          </w:p>
        </w:tc>
        <w:tc>
          <w:tcPr>
            <w:tcW w:w="1553" w:type="dxa"/>
          </w:tcPr>
          <w:p w14:paraId="73211E4B" w14:textId="77777777" w:rsidR="005038C4" w:rsidRDefault="00000000">
            <w:pPr>
              <w:spacing w:before="20" w:after="20"/>
            </w:pPr>
            <w:r>
              <w:rPr>
                <w:sz w:val="18"/>
              </w:rPr>
              <w:t>5.0</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7.0</w:t>
            </w:r>
          </w:p>
        </w:tc>
        <w:tc>
          <w:tcPr>
            <w:tcW w:w="1553" w:type="dxa"/>
          </w:tcPr>
          <w:p w14:paraId="02A9EA9D" w14:textId="77777777" w:rsidR="005038C4" w:rsidRDefault="00000000">
            <w:pPr>
              <w:spacing w:before="20" w:after="20"/>
            </w:pPr>
            <w:r>
              <w:rPr>
                <w:sz w:val="18"/>
              </w:rPr>
              <w:t>84238.0</w:t>
            </w:r>
          </w:p>
        </w:tc>
        <w:tc>
          <w:tcPr>
            <w:tcW w:w="1553" w:type="dxa"/>
          </w:tcPr>
          <w:p w14:paraId="4B9A28CE" w14:textId="77777777" w:rsidR="005038C4" w:rsidRDefault="00000000">
            <w:pPr>
              <w:spacing w:before="20" w:after="20"/>
            </w:pPr>
            <w:r>
              <w:rPr>
                <w:sz w:val="18"/>
              </w:rPr>
              <w:t>4.0</w:t>
            </w:r>
          </w:p>
        </w:tc>
        <w:tc>
          <w:tcPr>
            <w:tcW w:w="1553" w:type="dxa"/>
          </w:tcPr>
          <w:p w14:paraId="741C4146" w14:textId="77777777" w:rsidR="005038C4" w:rsidRDefault="00000000">
            <w:pPr>
              <w:spacing w:before="20" w:after="20"/>
            </w:pPr>
            <w:r>
              <w:rPr>
                <w:sz w:val="18"/>
              </w:rPr>
              <w:t>349248.0</w:t>
            </w:r>
          </w:p>
        </w:tc>
        <w:tc>
          <w:tcPr>
            <w:tcW w:w="1553" w:type="dxa"/>
          </w:tcPr>
          <w:p w14:paraId="7B01147C" w14:textId="77777777" w:rsidR="005038C4" w:rsidRDefault="00000000">
            <w:pPr>
              <w:spacing w:before="20" w:after="20"/>
            </w:pPr>
            <w:r>
              <w:rPr>
                <w:sz w:val="18"/>
              </w:rPr>
              <w:t>4.0</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8.0</w:t>
            </w:r>
          </w:p>
        </w:tc>
        <w:tc>
          <w:tcPr>
            <w:tcW w:w="1553" w:type="dxa"/>
          </w:tcPr>
          <w:p w14:paraId="2542D8BD" w14:textId="77777777" w:rsidR="005038C4" w:rsidRDefault="00000000">
            <w:pPr>
              <w:spacing w:before="20" w:after="20"/>
            </w:pPr>
            <w:r>
              <w:rPr>
                <w:sz w:val="18"/>
              </w:rPr>
              <w:t>75260.0</w:t>
            </w:r>
          </w:p>
        </w:tc>
        <w:tc>
          <w:tcPr>
            <w:tcW w:w="1553" w:type="dxa"/>
          </w:tcPr>
          <w:p w14:paraId="108197FD" w14:textId="77777777" w:rsidR="005038C4" w:rsidRDefault="00000000">
            <w:pPr>
              <w:spacing w:before="20" w:after="20"/>
            </w:pPr>
            <w:r>
              <w:rPr>
                <w:sz w:val="18"/>
              </w:rPr>
              <w:t>5.0</w:t>
            </w:r>
          </w:p>
        </w:tc>
        <w:tc>
          <w:tcPr>
            <w:tcW w:w="1553" w:type="dxa"/>
          </w:tcPr>
          <w:p w14:paraId="56B089C5" w14:textId="77777777" w:rsidR="005038C4" w:rsidRDefault="00000000">
            <w:pPr>
              <w:spacing w:before="20" w:after="20"/>
            </w:pPr>
            <w:r>
              <w:rPr>
                <w:sz w:val="18"/>
              </w:rPr>
              <w:t>356829.0</w:t>
            </w:r>
          </w:p>
        </w:tc>
        <w:tc>
          <w:tcPr>
            <w:tcW w:w="1553" w:type="dxa"/>
          </w:tcPr>
          <w:p w14:paraId="4DA221A2" w14:textId="77777777" w:rsidR="005038C4" w:rsidRDefault="00000000">
            <w:pPr>
              <w:spacing w:before="20" w:after="20"/>
            </w:pPr>
            <w:r>
              <w:rPr>
                <w:sz w:val="18"/>
              </w:rPr>
              <w:t>3.0</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3.0</w:t>
            </w:r>
          </w:p>
        </w:tc>
        <w:tc>
          <w:tcPr>
            <w:tcW w:w="1553" w:type="dxa"/>
          </w:tcPr>
          <w:p w14:paraId="4A1ABEF3" w14:textId="77777777" w:rsidR="005038C4" w:rsidRDefault="00000000">
            <w:pPr>
              <w:spacing w:before="20" w:after="20"/>
            </w:pPr>
            <w:r>
              <w:rPr>
                <w:sz w:val="18"/>
              </w:rPr>
              <w:t>60860.0</w:t>
            </w:r>
          </w:p>
        </w:tc>
        <w:tc>
          <w:tcPr>
            <w:tcW w:w="1553" w:type="dxa"/>
          </w:tcPr>
          <w:p w14:paraId="7F1C5DE5" w14:textId="77777777" w:rsidR="005038C4" w:rsidRDefault="00000000">
            <w:pPr>
              <w:spacing w:before="20" w:after="20"/>
            </w:pPr>
            <w:r>
              <w:rPr>
                <w:sz w:val="18"/>
              </w:rPr>
              <w:t>6.0</w:t>
            </w:r>
          </w:p>
        </w:tc>
        <w:tc>
          <w:tcPr>
            <w:tcW w:w="1553" w:type="dxa"/>
          </w:tcPr>
          <w:p w14:paraId="7E4B106D" w14:textId="77777777" w:rsidR="005038C4" w:rsidRDefault="00000000">
            <w:pPr>
              <w:spacing w:before="20" w:after="20"/>
            </w:pPr>
            <w:r>
              <w:rPr>
                <w:sz w:val="18"/>
              </w:rPr>
              <w:t>382870.0</w:t>
            </w:r>
          </w:p>
        </w:tc>
        <w:tc>
          <w:tcPr>
            <w:tcW w:w="1553" w:type="dxa"/>
          </w:tcPr>
          <w:p w14:paraId="20C217B7" w14:textId="77777777" w:rsidR="005038C4" w:rsidRDefault="00000000">
            <w:pPr>
              <w:spacing w:before="20" w:after="20"/>
            </w:pPr>
            <w:r>
              <w:rPr>
                <w:sz w:val="18"/>
              </w:rPr>
              <w:t>1.0</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6.0</w:t>
            </w:r>
          </w:p>
        </w:tc>
        <w:tc>
          <w:tcPr>
            <w:tcW w:w="1553" w:type="dxa"/>
          </w:tcPr>
          <w:p w14:paraId="7958CCE4" w14:textId="77777777" w:rsidR="005038C4" w:rsidRDefault="00000000">
            <w:pPr>
              <w:spacing w:before="20" w:after="20"/>
            </w:pPr>
            <w:r>
              <w:rPr>
                <w:sz w:val="18"/>
              </w:rPr>
              <w:t>19383.0</w:t>
            </w:r>
          </w:p>
        </w:tc>
        <w:tc>
          <w:tcPr>
            <w:tcW w:w="1553" w:type="dxa"/>
          </w:tcPr>
          <w:p w14:paraId="5EB934BF" w14:textId="77777777" w:rsidR="005038C4" w:rsidRDefault="00000000">
            <w:pPr>
              <w:spacing w:before="20" w:after="20"/>
            </w:pPr>
            <w:r>
              <w:rPr>
                <w:sz w:val="18"/>
              </w:rPr>
              <w:t>7.0</w:t>
            </w:r>
          </w:p>
        </w:tc>
        <w:tc>
          <w:tcPr>
            <w:tcW w:w="1553" w:type="dxa"/>
          </w:tcPr>
          <w:p w14:paraId="02296F36" w14:textId="77777777" w:rsidR="005038C4" w:rsidRDefault="00000000">
            <w:pPr>
              <w:spacing w:before="20" w:after="20"/>
            </w:pPr>
            <w:r>
              <w:rPr>
                <w:sz w:val="18"/>
              </w:rPr>
              <w:t>117124.0</w:t>
            </w:r>
          </w:p>
        </w:tc>
        <w:tc>
          <w:tcPr>
            <w:tcW w:w="1553" w:type="dxa"/>
          </w:tcPr>
          <w:p w14:paraId="0A9C2CB5" w14:textId="77777777" w:rsidR="005038C4" w:rsidRDefault="00000000">
            <w:pPr>
              <w:spacing w:before="20" w:after="20"/>
            </w:pPr>
            <w:r>
              <w:rPr>
                <w:sz w:val="18"/>
              </w:rPr>
              <w:t>9.0</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18052.0</w:t>
            </w:r>
          </w:p>
        </w:tc>
        <w:tc>
          <w:tcPr>
            <w:tcW w:w="1553" w:type="dxa"/>
          </w:tcPr>
          <w:p w14:paraId="3A174960" w14:textId="77777777" w:rsidR="005038C4" w:rsidRDefault="00000000">
            <w:pPr>
              <w:spacing w:before="20" w:after="20"/>
            </w:pPr>
            <w:r>
              <w:rPr>
                <w:sz w:val="18"/>
              </w:rPr>
              <w:t>8.0</w:t>
            </w:r>
          </w:p>
        </w:tc>
        <w:tc>
          <w:tcPr>
            <w:tcW w:w="1553" w:type="dxa"/>
          </w:tcPr>
          <w:p w14:paraId="2A66C10B" w14:textId="77777777" w:rsidR="005038C4" w:rsidRDefault="00000000">
            <w:pPr>
              <w:spacing w:before="20" w:after="20"/>
            </w:pPr>
            <w:r>
              <w:rPr>
                <w:sz w:val="18"/>
              </w:rPr>
              <w:t>186610.0</w:t>
            </w:r>
          </w:p>
        </w:tc>
        <w:tc>
          <w:tcPr>
            <w:tcW w:w="1553" w:type="dxa"/>
          </w:tcPr>
          <w:p w14:paraId="43087C51" w14:textId="77777777" w:rsidR="005038C4" w:rsidRDefault="00000000">
            <w:pPr>
              <w:spacing w:before="20" w:after="20"/>
            </w:pPr>
            <w:r>
              <w:rPr>
                <w:sz w:val="18"/>
              </w:rPr>
              <w:t>7.0</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12391.0</w:t>
            </w:r>
          </w:p>
        </w:tc>
        <w:tc>
          <w:tcPr>
            <w:tcW w:w="1553" w:type="dxa"/>
          </w:tcPr>
          <w:p w14:paraId="7198E1B9" w14:textId="77777777" w:rsidR="005038C4" w:rsidRDefault="00000000">
            <w:pPr>
              <w:spacing w:before="20" w:after="20"/>
            </w:pPr>
            <w:r>
              <w:rPr>
                <w:sz w:val="18"/>
              </w:rPr>
              <w:t>9.0</w:t>
            </w:r>
          </w:p>
        </w:tc>
        <w:tc>
          <w:tcPr>
            <w:tcW w:w="1553" w:type="dxa"/>
          </w:tcPr>
          <w:p w14:paraId="1118761D" w14:textId="77777777" w:rsidR="005038C4" w:rsidRDefault="00000000">
            <w:pPr>
              <w:spacing w:before="20" w:after="20"/>
            </w:pPr>
            <w:r>
              <w:rPr>
                <w:sz w:val="18"/>
              </w:rPr>
              <w:t>166196.0</w:t>
            </w:r>
          </w:p>
        </w:tc>
        <w:tc>
          <w:tcPr>
            <w:tcW w:w="1553" w:type="dxa"/>
          </w:tcPr>
          <w:p w14:paraId="7277EC68" w14:textId="77777777" w:rsidR="005038C4" w:rsidRDefault="00000000">
            <w:pPr>
              <w:spacing w:before="20" w:after="20"/>
            </w:pPr>
            <w:r>
              <w:rPr>
                <w:sz w:val="18"/>
              </w:rPr>
              <w:t>8.0</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1.0</w:t>
            </w:r>
          </w:p>
        </w:tc>
        <w:tc>
          <w:tcPr>
            <w:tcW w:w="1553" w:type="dxa"/>
          </w:tcPr>
          <w:p w14:paraId="0DEC2F9C" w14:textId="77777777" w:rsidR="005038C4" w:rsidRDefault="00000000">
            <w:pPr>
              <w:spacing w:before="20" w:after="20"/>
            </w:pPr>
            <w:r>
              <w:rPr>
                <w:sz w:val="18"/>
              </w:rPr>
              <w:t>7754.0</w:t>
            </w:r>
          </w:p>
        </w:tc>
        <w:tc>
          <w:tcPr>
            <w:tcW w:w="1553" w:type="dxa"/>
          </w:tcPr>
          <w:p w14:paraId="38EB3516" w14:textId="77777777" w:rsidR="005038C4" w:rsidRDefault="00000000">
            <w:pPr>
              <w:spacing w:before="20" w:after="20"/>
            </w:pPr>
            <w:r>
              <w:rPr>
                <w:sz w:val="18"/>
              </w:rPr>
              <w:t>10.0</w:t>
            </w:r>
          </w:p>
        </w:tc>
        <w:tc>
          <w:tcPr>
            <w:tcW w:w="1553" w:type="dxa"/>
          </w:tcPr>
          <w:p w14:paraId="3260566C" w14:textId="77777777" w:rsidR="005038C4" w:rsidRDefault="00000000">
            <w:pPr>
              <w:spacing w:before="20" w:after="20"/>
            </w:pPr>
            <w:r>
              <w:rPr>
                <w:sz w:val="18"/>
              </w:rPr>
              <w:t>111475.0</w:t>
            </w:r>
          </w:p>
        </w:tc>
        <w:tc>
          <w:tcPr>
            <w:tcW w:w="1553" w:type="dxa"/>
          </w:tcPr>
          <w:p w14:paraId="34E04760" w14:textId="77777777" w:rsidR="005038C4" w:rsidRDefault="00000000">
            <w:pPr>
              <w:spacing w:before="20" w:after="20"/>
            </w:pPr>
            <w:r>
              <w:rPr>
                <w:sz w:val="18"/>
              </w:rPr>
              <w:t>10.0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two of its five </w:t>
      </w:r>
      <w:r>
        <w:lastRenderedPageBreak/>
        <w:t>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 xml:space="preserve">The fixed-effects specification (n = 48, within R² = 0.429, </w:t>
      </w:r>
      <w:proofErr w:type="gramStart"/>
      <w:r>
        <w:t>F(</w:t>
      </w:r>
      <w:proofErr w:type="gramEnd"/>
      <w:r>
        <w:t>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w:t>
      </w:r>
      <w:proofErr w:type="gramStart"/>
      <w:r>
        <w:t>F(</w:t>
      </w:r>
      <w:proofErr w:type="gramEnd"/>
      <w:r>
        <w:t>9,33) = 6.74, p &lt; 0.001), confirming that state fixed effects are doing real work in this model and that pooling would be misspecified here.</w:t>
      </w:r>
    </w:p>
    <w:p w14:paraId="3566975E" w14:textId="77777777" w:rsidR="00B46976" w:rsidRDefault="00000000">
      <w:pPr>
        <w:jc w:val="both"/>
      </w:pPr>
      <w:r>
        <w:t>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roofErr w:type="gramStart"/>
      <w:r/>
      <w:proofErr w:type="gramEnd"/>
      <w:r/>
      <w:proofErr w:type="gramStart"/>
      <w:r/>
      <w:proofErr w:type="gramEnd"/>
      <w:r/>
      <w:proofErr w:type="gramStart"/>
      <w:r/>
      <w:proofErr w:type="gramEnd"/>
      <w:r/>
      <w:proofErr w:type="gramStart"/>
      <w:r/>
      <w:proofErr w:type="gramEnd"/>
      <w:r/>
      <w:r/>
      <w:proofErr w:type="gramStart"/>
      <w:r/>
      <w:proofErr w:type="gramEnd"/>
      <w:r/>
    </w:p>
    <w:p w14:paraId="3BC9BDCD" w14:textId="77777777" w:rsidR="00E02EA1" w:rsidRDefault="00E02EA1">
      <w:pPr>
        <w:jc w:val="both"/>
      </w:pPr>
    </w:p>
    <w:p w14:paraId="45833458"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Unnamed: 0</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w:t>
      </w:r>
      <w:r>
        <w:lastRenderedPageBreak/>
        <w:t>elevated. Replacing the dummy with a full set of year fixed effects absorbs the entire common path 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r>
        <w:rPr>
          <w:b w:val="0"/>
        </w:rPr>
        <w:t>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happen if the identifying variation is cross-sectional, since year effects remove common time variation and leave the cross-section intact. The second and third address a gap in the specification the review of Section 2 makes obvious: the location leg of the FDI literature is operationalised through market size above all, and nothing in the pooled model measures scale. Log FDI is an unnormalised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Pooled specification</w:t>
            </w:r>
          </w:p>
        </w:tc>
        <w:tc>
          <w:tcPr>
            <w:tcW w:type="dxa" w:w="2268"/>
          </w:tcPr>
          <w:p>
            <w:r/>
            <w:r>
              <w:rPr>
                <w:b/>
              </w:rPr>
              <w:t>Debt coefficient</w:t>
            </w:r>
          </w:p>
        </w:tc>
        <w:tc>
          <w:tcPr>
            <w:tcW w:type="dxa" w:w="2268"/>
          </w:tcPr>
          <w:p>
            <w:r/>
            <w:r>
              <w:rPr>
                <w:b/>
              </w:rPr>
              <w:t>Cluster-robust p</w:t>
            </w:r>
          </w:p>
        </w:tc>
        <w:tc>
          <w:tcPr>
            <w:tcW w:type="dxa" w:w="2268"/>
          </w:tcPr>
          <w:p>
            <w:r/>
            <w:r>
              <w:rPr>
                <w:b/>
              </w:rPr>
              <w:t>Wild cluster bootstrap p</w:t>
            </w:r>
          </w:p>
        </w:tc>
      </w:tr>
      <w:tr>
        <w:tc>
          <w:tcPr>
            <w:tcW w:type="dxa" w:w="2268"/>
          </w:tcPr>
          <w:p>
            <w:r/>
            <w:r>
              <w:t>Baseline, as published in Table 19</w:t>
            </w:r>
          </w:p>
        </w:tc>
        <w:tc>
          <w:tcPr>
            <w:tcW w:type="dxa" w:w="2268"/>
          </w:tcPr>
          <w:p>
            <w:r/>
            <w:r>
              <w:t>-0.176</w:t>
            </w:r>
          </w:p>
        </w:tc>
        <w:tc>
          <w:tcPr>
            <w:tcW w:type="dxa" w:w="2268"/>
          </w:tcPr>
          <w:p>
            <w:r/>
            <w:r>
              <w:t>0.007</w:t>
            </w:r>
          </w:p>
        </w:tc>
        <w:tc>
          <w:tcPr>
            <w:tcW w:type="dxa" w:w="2268"/>
          </w:tcPr>
          <w:p>
            <w:r/>
            <w:r>
              <w:t>0.057</w:t>
            </w:r>
          </w:p>
        </w:tc>
      </w:tr>
      <w:tr>
        <w:tc>
          <w:tcPr>
            <w:tcW w:type="dxa" w:w="2268"/>
          </w:tcPr>
          <w:p>
            <w:r/>
            <w:r>
              <w:t>Plus full year fixed effects</w:t>
            </w:r>
          </w:p>
        </w:tc>
        <w:tc>
          <w:tcPr>
            <w:tcW w:type="dxa" w:w="2268"/>
          </w:tcPr>
          <w:p>
            <w:r/>
            <w:r>
              <w:t>-0.244</w:t>
            </w:r>
          </w:p>
        </w:tc>
        <w:tc>
          <w:tcPr>
            <w:tcW w:type="dxa" w:w="2268"/>
          </w:tcPr>
          <w:p>
            <w:r/>
            <w:r>
              <w:t>0.001</w:t>
            </w:r>
          </w:p>
        </w:tc>
        <w:tc>
          <w:tcPr>
            <w:tcW w:type="dxa" w:w="2268"/>
          </w:tcPr>
          <w:p>
            <w:r/>
            <w:r>
              <w:t>0.019</w:t>
            </w:r>
          </w:p>
        </w:tc>
      </w:tr>
      <w:tr>
        <w:tc>
          <w:tcPr>
            <w:tcW w:type="dxa" w:w="2268"/>
          </w:tcPr>
          <w:p>
            <w:r/>
            <w:r>
              <w:t>Plus log GSDP as a market-size control</w:t>
            </w:r>
          </w:p>
        </w:tc>
        <w:tc>
          <w:tcPr>
            <w:tcW w:type="dxa" w:w="2268"/>
          </w:tcPr>
          <w:p>
            <w:r/>
            <w:r>
              <w:t>-0.173</w:t>
            </w:r>
          </w:p>
        </w:tc>
        <w:tc>
          <w:tcPr>
            <w:tcW w:type="dxa" w:w="2268"/>
          </w:tcPr>
          <w:p>
            <w:r/>
            <w:r>
              <w:t>0.003</w:t>
            </w:r>
          </w:p>
        </w:tc>
        <w:tc>
          <w:tcPr>
            <w:tcW w:type="dxa" w:w="2268"/>
          </w:tcPr>
          <w:p>
            <w:r/>
            <w:r>
              <w:t>0.087</w:t>
            </w:r>
          </w:p>
        </w:tc>
      </w:tr>
      <w:tr>
        <w:tc>
          <w:tcPr>
            <w:tcW w:type="dxa" w:w="2268"/>
          </w:tcPr>
          <w:p>
            <w:r/>
            <w:r>
              <w:t>Dependent variable = log(FDI / GSDP)</w:t>
            </w:r>
          </w:p>
        </w:tc>
        <w:tc>
          <w:tcPr>
            <w:tcW w:type="dxa" w:w="2268"/>
          </w:tcPr>
          <w:p>
            <w:r/>
            <w:r>
              <w:t>-0.173</w:t>
            </w:r>
          </w:p>
        </w:tc>
        <w:tc>
          <w:tcPr>
            <w:tcW w:type="dxa" w:w="2268"/>
          </w:tcPr>
          <w:p>
            <w:r/>
            <w:r>
              <w:t>0.003</w:t>
            </w:r>
          </w:p>
        </w:tc>
        <w:tc>
          <w:tcPr>
            <w:tcW w:type="dxa" w:w="2268"/>
          </w:tcPr>
          <w:p>
            <w:r/>
            <w:r>
              <w:t>0.079</w:t>
            </w:r>
          </w:p>
        </w:tc>
      </w:tr>
    </w:tbl>
    <w:p>
      <w:r>
        <w:rPr>
          <w:b w:val="0"/>
        </w:rP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0.037)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14:paraId="06389F3A" w14:textId="77777777" w:rsidR="00D63CF3" w:rsidRDefault="00000000">
      <w:r>
        <w:rPr>
          <w:b/>
        </w:rPr>
        <w:t>Table 31a. Bootstrap 95 per cent confidence intervals for the leave-one-state-out out-of-sample R-squared of Table 31, two hundred state-cluster resamples.</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Bootstrap median</w:t>
            </w:r>
          </w:p>
        </w:tc>
        <w:tc>
          <w:tcPr>
            <w:tcW w:w="1814" w:type="dxa"/>
          </w:tcPr>
          <w:p w14:paraId="234DFF7A" w14:textId="77777777" w:rsidR="00D63CF3" w:rsidRDefault="00000000">
            <w:r>
              <w:rPr>
                <w:b/>
              </w:rPr>
              <w:t>95% CI (state-cluster bootstrap)</w:t>
            </w:r>
          </w:p>
        </w:tc>
        <w:tc>
          <w:tcPr>
            <w:tcW w:w="1814" w:type="dxa"/>
          </w:tcPr>
          <w:p w14:paraId="024EB833" w14:textId="77777777" w:rsidR="00D63CF3" w:rsidRDefault="00000000">
            <w:r>
              <w:rPr>
                <w:b/>
              </w:rPr>
              <w:t>Share of draws ≤ 0</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0.364</w:t>
            </w:r>
          </w:p>
        </w:tc>
        <w:tc>
          <w:tcPr>
            <w:tcW w:w="1814" w:type="dxa"/>
          </w:tcPr>
          <w:p w14:paraId="15465D95" w14:textId="77777777" w:rsidR="00D63CF3" w:rsidRDefault="00000000">
            <w:r>
              <w:t>[-0.815, 0.799]</w:t>
            </w:r>
          </w:p>
        </w:tc>
        <w:tc>
          <w:tcPr>
            <w:tcW w:w="1814" w:type="dxa"/>
          </w:tcPr>
          <w:p w14:paraId="4780ECC7" w14:textId="77777777" w:rsidR="00D63CF3" w:rsidRDefault="00000000">
            <w:r>
              <w:t>17.0%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0.235</w:t>
            </w:r>
          </w:p>
        </w:tc>
        <w:tc>
          <w:tcPr>
            <w:tcW w:w="1814" w:type="dxa"/>
          </w:tcPr>
          <w:p w14:paraId="79894CFB" w14:textId="77777777" w:rsidR="00D63CF3" w:rsidRDefault="00000000">
            <w:r>
              <w:t>0.328</w:t>
            </w:r>
          </w:p>
        </w:tc>
        <w:tc>
          <w:tcPr>
            <w:tcW w:w="1814" w:type="dxa"/>
          </w:tcPr>
          <w:p w14:paraId="235B2D53" w14:textId="77777777" w:rsidR="00D63CF3" w:rsidRDefault="00000000">
            <w:r>
              <w:t>[-0.510, 0.806]</w:t>
            </w:r>
          </w:p>
        </w:tc>
        <w:tc>
          <w:tcPr>
            <w:tcW w:w="1814" w:type="dxa"/>
          </w:tcPr>
          <w:p w14:paraId="7BE6919B" w14:textId="77777777" w:rsidR="00D63CF3" w:rsidRDefault="00000000">
            <w:r>
              <w:t>20.5%</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0.339</w:t>
            </w:r>
          </w:p>
        </w:tc>
        <w:tc>
          <w:tcPr>
            <w:tcW w:w="1814" w:type="dxa"/>
          </w:tcPr>
          <w:p w14:paraId="22236044" w14:textId="77777777" w:rsidR="00D63CF3" w:rsidRDefault="00000000">
            <w:r>
              <w:t>[-0.484, 0.815]</w:t>
            </w:r>
          </w:p>
        </w:tc>
        <w:tc>
          <w:tcPr>
            <w:tcW w:w="1814" w:type="dxa"/>
          </w:tcPr>
          <w:p w14:paraId="4230DDF4" w14:textId="77777777" w:rsidR="00D63CF3" w:rsidRDefault="00000000">
            <w:r>
              <w:t>11.0%</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0.396</w:t>
            </w:r>
          </w:p>
        </w:tc>
        <w:tc>
          <w:tcPr>
            <w:tcW w:w="1814" w:type="dxa"/>
          </w:tcPr>
          <w:p w14:paraId="43414369" w14:textId="77777777" w:rsidR="00D63CF3" w:rsidRDefault="00000000">
            <w:r>
              <w:t>[-1.152, 0.968]</w:t>
            </w:r>
          </w:p>
        </w:tc>
        <w:tc>
          <w:tcPr>
            <w:tcW w:w="1814" w:type="dxa"/>
          </w:tcPr>
          <w:p w14:paraId="39C3DCE0" w14:textId="77777777" w:rsidR="00D63CF3" w:rsidRDefault="00000000">
            <w:r>
              <w:t>15.5%</w:t>
            </w:r>
          </w:p>
        </w:tc>
      </w:tr>
    </w:tbl>
    <w:p w14:paraId="7580BC3D"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roofErr w:type="gramStart"/>
      <w:r/>
      <w:proofErr w:type="gramEnd"/>
      <w:r/>
      <w:r/>
    </w:p>
    <w:p w14:paraId="66C260ED" w14:textId="77777777" w:rsidR="008023A7" w:rsidRDefault="00000000">
      <w:pPr>
        <w:pStyle w:val="Heading2"/>
      </w:pPr>
      <w:r>
        <w:t>6.7 Specification and diagnostic tests</w:t>
      </w:r>
    </w:p>
    <w:p w14:paraId="4A0D4C2C" w14:textId="77777777" w:rsidR="00C959F9" w:rsidRDefault="00000000">
      <w:pPr>
        <w:jc w:val="both"/>
      </w:pPr>
      <w:r>
        <w:t xml:space="preserve">The F-test for poolability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 xml:space="preserve">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w:t>
      </w:r>
      <w:r>
        <w:lastRenderedPageBreak/>
        <w:t>last in all five. It lines up too with the Spearman correlation of Section 6.2, which turns significant (rho = 0.728, p = 0.026) once Uttar Pradesh is set aside — an exclusion Section 7.3 examines at length, and does not find fully justified.</w:t>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14:paraId="495B0F69" w14:textId="77777777" w:rsidR="00D63CF3" w:rsidRDefault="00000000">
      <w:r>
        <w:rPr>
          <w:b/>
        </w:rPr>
        <w:t xml:space="preserve">Table 35. Debt coefficient in a Mundlak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parameterisation, at p = 0.095, which is the same number under both because it is the same coefficient with its sign reversed. We report the reparameterisation because it is the strongest available argument that this variable should carry no interpretive weight at all, and it is an argument from an identity rather than from a judgement about measurement.</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 That reading is corroborated by data published after this paper's window. DPIIT's later factsheet, running to June 2025, puts Jharkhand's cumulative inflow since October 2019 at 19,468 crore against the 19,382 crore recorded here to March 2024: an increase of 86 crore over fifteen months, in a period when Maharashtra added more than two hundred thousand crore. The collapse this section describes was not an artefact of where the panel happens to end.</w:t>
      </w:r>
    </w:p>
    <w:p w14:paraId="50F326EB" w14:textId="77777777" w:rsidR="00B46976" w:rsidRDefault="00000000">
      <w:pPr>
        <w:jc w:val="both"/>
      </w:pPr>
      <w:r>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w:t>
      </w:r>
      <w:r/>
      <w:proofErr w:type="gramStart"/>
      <w:r/>
      <w:proofErr w:type="gramEnd"/>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urbanised.</w:t>
      </w:r>
    </w:p>
    <w:p w14:paraId="2AB03095"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w:t>
      </w:r>
      <w:r>
        <w:t xml:space="preserve"> A third alternative is sharper than either of those because it can be tested directly, and the test does not go this paper's way. Group the ten states by region and the debt ordering is largely a regional ordering: mean debt runs 20.6 per cent of GSDP in the west, 26.2 in the south, 32.9 in the north and 34.5 in the east, and 71 per cent of the cross-state variance in debt lies between those four groups rather than within them. Regional indicators alone explain more of log FDI than debt alone does, at an R-squared of 0.60 against 0.31, and when both enter together the debt coefficient falls from -0.176 to +0.036 and is indistinguishable from zero. Within regions the ordering is not reliable either: West Bengal carries more debt than Jharkhand and receives more investment, and Rajasthan carries more than Haryana and receives less. We do not read this as showing that debt is irrelevant, because with ten states and four regions the two cannot be separated: regional effects absorb three of the nine between-state degrees of freedom, and debt and region are close to collinear by construction. What it does establish is that this design cannot tell a fiscal signal apart from a regional one, and that a reader who prefers the regional reading cannot be refuted from these data. It is the most serious limitation on the paper's central claim, and it belongs alongside agglomeration and the registered-office effect rather than below them. The reach of that confound is wider than the pooled coefficient alone, and we set it out rather than let a reader assume the other methods escape it. The Mundlak specification of Table 35, which this paper offers as its cleanest evidence that the between-state and within-state effects differ, puts the between-state debt coefficient at -0.256; adding regional indicators moves it to +0.151, reversing its sign, though the two dimensions remain distinguishable at p = 0.026. The rank correlation of Section 6.2 behaves the same way: rho = -0.842 across the ten states falls to -0.285 (p = 0.425) once regional means are removed from both debt and investment. And LASSO, offered regional indicators alongside the five fiscal regressors, promotes a western-region indicator above debt, at +0.699 against -0.679. Only the SHAP ranking is unmoved, debt staying first at 1.006 against 1.029. Two things follow. The first is that the convergence of Section 6.6 is not independent evidence against this particular confound, because the methods converge partly by reading the same confounded cross-section, which is the general point that section already concedes and this is its concrete instance. The second is a caveat in the paper's favour: a regional indicator is constant within a state across all five years, exactly the property that made urbanisation unusable in Section 5.2, so a tree or a penalised regression can use it to identify states rather than to measure geography. That defence applies to the machine-learning results. It does not apply to the pooled regression or to the rank correlation, and those are where the paper's cross-state claim actually lives.</w:t>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What a state finance department should take from this is more limited than the headline correlation suggests, and Section 7.4 is the reason. The cross-state relationship is real in these data and survives every robustness check the paper applies, but it cannot be separated from a regional pattern: the low-debt states are western and southern, the high-debt states northern and eastern, and once region is controlled for the debt coefficient is indistinguishable from zero. Ten states cannot settle which of the two is operative. That distinction is not academic, because the two readings give opposite advice to the states most likely to act on it. If the fiscal signal is what investors price, a high-debt eastern state that consolidates should expect to gain. If region is standing in for infrastructure, industrial base, logistics or market access that debt merely correlates with, the same state may consolidate and see nothing. We are not able to tell those apart, and a finance department should not be told otherwise. What can be said with more confidence is narrower and mostly negative. The payoff, if there is one, is not immediate: a reputation for discipline is built over years, and no single budget's debt reduction should be expected to move next year's inflows. Of the four indicators, debt is the only one this paper's evidence points to at all, and it is the stock rather than any single year's addition to it that carries the association; the fiscal deficit, own tax revenue and capital expenditure do not survive their own robustness checks, and capital expenditure as constructed here is not an independent indicator at all. We attach no growth recommendation to any of the four, because Section 6.5 shows this panel cannot identify a fiscal effect on growth once common year shocks are absorbed. And the composite ranking that Section 4.7 builds is outperformed by debt alone, so a state or an agency wanting one verifiable number should use the debt ratio rather than an index.</w:t>
      </w:r>
    </w:p>
    <w:p w14:paraId="09E5106F" w14:textId="77777777" w:rsidR="001B0F76" w:rsidRDefault="00C46D25" w:rsidP="00C46D25">
      <w:pPr>
        <w:jc w:val="both"/>
      </w:pPr>
      <w:r w:rsidRPr="00C46D25">
        <w:t>For the Finance Commission, NITI Aayog and investment-promotion bodies the lesson is about method rather than about debt. A ranking of states by fiscal discipline is worth only what its validation against an outcome is worth, and an index published without one cannot be told apart from an arbitrary one. We built such a ranking, set out its construction in full so that it can be challenged, tested it against realised investment, and report what that test returned even where it was unflattering: the composite correlates with investment less well than debt alone does, and part of its construction double-counts the fiscal deficit against itself. That is the standard we would ask of any published index, and it is not one this paper's own index passes comfortably. Two states show why a ranking should never be read mechanically. Jharkhand sits mid-table on discipline and near the bottom on realised investment; a government that improves its fiscal position without addressing infrastructure gaps, land and clearance processes, or the investment cycle of a dominant industry should not expect inflows to follow. Uttar Pradesh cuts the other way and is the harder case. Part of its weak record is an artefact of when DPIIT began reporting the series, but only part: scaling its three observed years to a five-year equivalent still leaves it ninth of ten, so it stands as a counterexample to its own first place. A state can lead on these four indicators and still not attract investment.</w:t>
      </w:r>
      <w:proofErr w:type="gramStart"/>
      <w:r w:rsidRPr="00C46D25"/>
      <w:proofErr w:type="gramEnd"/>
      <w:r w:rsidRPr="00C46D25"/>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lastRenderedPageBreak/>
        <w:t>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 A fourth would do it more cheaply than any of these: a panel with enough states to hold region fixed while debt still varies within it. Section 7.4 shows that ten states across four regions cannot do that, and it is the single most valuable extension available.</w:t>
      </w:r>
    </w:p>
    <w:p w14:paraId="61D7BC03"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 On the widest of those extensions we can say more than that it is desirable, because the FC-16 annexures already carry the fiscal side of it. The Commission reports all four indicators for twenty-eight states, and DPIIT reports a cumulative inflow for each, which is enough to ask whether a wider sample would separate debt from region even though it is not enough to rebuild the annual panel. It would. Across the ten states studied here, 72 per cent of the cross-sectional variance in debt lies between regions and the mean within-region spread is 6.7 percentage points. Across twenty-six states with both series available, the between-region share falls to 35 per cent and the mean within-region spread more than doubles to 15.1 points, with six regions averaging over four states each rather than four regions averaging two and a half. The identification problem of Section 7.4 is a property of this sample rather than of the question. A cross-section on those twenty-six states is suggestive in the same direction: debt alone gives -0.299 (p = 0.004), and with regional indicators added it holds at -0.143 (p = 0.056) instead of collapsing to zero as it does here. We do not report that as a result, and it does not appear in any table above, because the wider set has no GSDP series in our hands and therefore no market-size control, which Section 6.5 shows matters; and because a cumulative total over a different window is not the annual outcome this paper models. It is reported as evidence that the extension is worth running, and code/widen_panel.py performs the check.</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lastRenderedPageBreak/>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lastRenderedPageBreak/>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lastRenderedPageBreak/>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7D4AEE"/>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58</Pages>
  <Words>23564</Words>
  <Characters>126733</Characters>
  <Application>Microsoft Office Word</Application>
  <DocSecurity>0</DocSecurity>
  <Lines>3823</Lines>
  <Paragraphs>2357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Fiscal Discipline and Foreign Direct Investment across Indian States: What a Ten-State Panel Can and Cannot Identify, FY 2019-20 to FY 2023-24</dc:title>
  <dc:subject/>
  <dc:creator>python-docx</dc:creator>
  <cp:keywords/>
  <dc:description>generated by python-docx</dc:description>
  <cp:lastModifiedBy>R VINAY KUMAR</cp:lastModifiedBy>
  <cp:revision>26</cp:revision>
  <cp:lastPrinted>2026-08-04T15:18:00Z</cp:lastPrinted>
  <dcterms:created xsi:type="dcterms:W3CDTF">2026-07-25T07:06:00Z</dcterms:created>
  <dcterms:modified xsi:type="dcterms:W3CDTF">2026-08-04T15:35:00Z</dcterms:modified>
  <cp:category/>
</cp:coreProperties>
</file>