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Times New Roman" w:cs="Times New Roman" w:eastAsia="Times New Roman" w:hAnsi="Times New Roman"/>
          <w:b/>
          <w:bCs/>
          <w:color w:val="666666"/>
          <w:sz w:val="26"/>
          <w:szCs w:val="26"/>
        </w:rPr>
        <w:t xml:space="preserve">RESEARCH PLAN (FINAL)</w:t>
      </w:r>
    </w:p>
    <w:p>
      <w:pPr>
        <w:spacing w:after="200"/>
        <w:jc w:val="center"/>
      </w:pPr>
      <w:r>
        <w:rPr>
          <w:rFonts w:ascii="Times New Roman" w:cs="Times New Roman" w:eastAsia="Times New Roman" w:hAnsi="Times New Roman"/>
          <w:b/>
          <w:bCs/>
          <w:color w:val="1F4E79"/>
          <w:sz w:val="36"/>
          <w:szCs w:val="36"/>
        </w:rPr>
        <w:t xml:space="preserve">Fiscal Discipline and Economic Outcomes:</w:t>
      </w:r>
    </w:p>
    <w:p>
      <w:pPr>
        <w:spacing w:after="400"/>
        <w:jc w:val="center"/>
      </w:pPr>
      <w:r>
        <w:rPr>
          <w:rFonts w:ascii="Times New Roman" w:cs="Times New Roman" w:eastAsia="Times New Roman" w:hAnsi="Times New Roman"/>
          <w:b/>
          <w:bCs/>
          <w:color w:val="17375E"/>
          <w:sz w:val="26"/>
          <w:szCs w:val="26"/>
        </w:rPr>
        <w:t xml:space="preserve">Panel Econometric and Interpretable Machine Learning Evidence on FDI Inflows and GSDP Growth across India's Top Ten FDI-Recipient States (FY 2019-20 to FY 2023-24)</w:t>
      </w:r>
    </w:p>
    <w:p>
      <w:pPr>
        <w:spacing w:after="150"/>
        <w:jc w:val="center"/>
      </w:pPr>
      <w:r>
        <w:rPr>
          <w:rFonts w:ascii="Times New Roman" w:cs="Times New Roman" w:eastAsia="Times New Roman" w:hAnsi="Times New Roman"/>
          <w:i/>
          <w:iCs/>
          <w:color w:val="555555"/>
          <w:sz w:val="22"/>
          <w:szCs w:val="22"/>
        </w:rPr>
        <w:t xml:space="preserve">A Panel Data Study Based on CAG-Audited State Finance Accounts, Validated with LASSO and SHAP</w:t>
      </w:r>
    </w:p>
    <w:p>
      <w:pPr>
        <w:spacing w:before="500"/>
        <w:jc w:val="center"/>
      </w:pPr>
      <w:r>
        <w:rPr>
          <w:rFonts w:ascii="Times New Roman" w:cs="Times New Roman" w:eastAsia="Times New Roman" w:hAnsi="Times New Roman"/>
          <w:b/>
          <w:bCs/>
          <w:color w:val="375623"/>
          <w:sz w:val="21"/>
          <w:szCs w:val="21"/>
        </w:rPr>
        <w:t xml:space="preserve">Status: COMPLETE. Data collection, panel regressions, machine-learning validation, specification testing and inference robustness are all finished, and the manuscript, dataset and code are published. See Section 13.</w:t>
      </w:r>
    </w:p>
    <w:p>
      <w:r>
        <w:br w:type="pag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1. INTRODUCTION AND BACKGROUND</w:t>
      </w:r>
    </w:p>
    <w:p>
      <w:pPr>
        <w:spacing w:after="90" w:before="90" w:line="320"/>
        <w:jc w:val="both"/>
      </w:pPr>
      <w:r>
        <w:rPr>
          <w:rFonts w:ascii="Times New Roman" w:cs="Times New Roman" w:eastAsia="Times New Roman" w:hAnsi="Times New Roman"/>
          <w:sz w:val="22"/>
          <w:szCs w:val="22"/>
        </w:rPr>
        <w:t xml:space="preserve">Foreign Direct Investment (FDI) in India is highly concentrated: ten states account for approximately 97 per cent of recorded FDI equity inflows since the Department for Promotion of Industry and Internal Trade (DPIIT) began maintaining state-wise statistics in October 2019. A parallel body of public-finance research emphasises sub-national fiscal discipline — prudent deficits, sustainable debt, robust own-revenue mobilisation, and productive capital expenditure — as central to the economic performance of Indian states.</w:t>
      </w:r>
    </w:p>
    <w:p>
      <w:pPr>
        <w:spacing w:after="90" w:before="90" w:line="320"/>
        <w:jc w:val="both"/>
      </w:pPr>
      <w:r>
        <w:rPr>
          <w:rFonts w:ascii="Times New Roman" w:cs="Times New Roman" w:eastAsia="Times New Roman" w:hAnsi="Times New Roman"/>
          <w:sz w:val="22"/>
          <w:szCs w:val="22"/>
        </w:rPr>
        <w:t xml:space="preserve">These two literatures have developed in isolation: fiscal-policy studies examine consequences for output growth (Trivedi and Rajmal, 2011; Panda and Sahay, 2022), while FDI-determinant studies emphasise infrastructure and agglomeration. No published study has directly tested whether the fiscal discipline of Indian states predicts the FDI they attract. This dissertation addresses that gap using a balanced panel of India's top ten FDI-recipient states over five fiscal years, built entirely from audited government sources, with the econometric findings independently corroborated using interpretable machine learning.</w:t>
      </w:r>
    </w:p>
    <w:p>
      <w:pPr>
        <w:spacing w:after="100"/>
      </w:pPr>
      <w:r>
        <w:t xml:space="preserv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2. STATEMENT OF THE PROBLEM</w:t>
      </w:r>
    </w:p>
    <w:p>
      <w:pPr>
        <w:spacing w:after="90" w:before="90" w:line="320"/>
        <w:jc w:val="both"/>
      </w:pPr>
      <w:r>
        <w:rPr>
          <w:rFonts w:ascii="Times New Roman" w:cs="Times New Roman" w:eastAsia="Times New Roman" w:hAnsi="Times New Roman"/>
          <w:sz w:val="22"/>
          <w:szCs w:val="22"/>
        </w:rPr>
        <w:t xml:space="preserve">Whether fiscal consolidation yields returns in the form of investment attraction remains empirically untested at the state level in India. The problem investigated is: does the fiscal discipline of Indian state governments significantly influence FDI inflows and GSDP growth across India's top ten FDI-recipient states during FY 2019-20 to FY 2023-24, and is this relationship robust across both traditional econometric and modern machine-learning methods?</w:t>
      </w:r>
    </w:p>
    <w:p>
      <w:pPr>
        <w:spacing w:after="100"/>
      </w:pPr>
      <w:r>
        <w:t xml:space="preserv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3. RESEARCH OBJECTIVES</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O1. </w:t>
      </w:r>
      <w:r>
        <w:rPr>
          <w:rFonts w:ascii="Times New Roman" w:cs="Times New Roman" w:eastAsia="Times New Roman" w:hAnsi="Times New Roman"/>
          <w:sz w:val="22"/>
          <w:szCs w:val="22"/>
        </w:rPr>
        <w:t xml:space="preserve">To measure and compare the fiscal discipline of India's top ten FDI-recipient states using four audited indicators: gross fiscal deficit, outstanding liabilities (debt), own tax revenue, and derived capital expenditure (each as a percentage of GSDP).</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O2. </w:t>
      </w:r>
      <w:r>
        <w:rPr>
          <w:rFonts w:ascii="Times New Roman" w:cs="Times New Roman" w:eastAsia="Times New Roman" w:hAnsi="Times New Roman"/>
          <w:sz w:val="22"/>
          <w:szCs w:val="22"/>
        </w:rPr>
        <w:t xml:space="preserve">To construct a year-wise composite fiscal discipline ranking of the ten states.</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O3. </w:t>
      </w:r>
      <w:r>
        <w:rPr>
          <w:rFonts w:ascii="Times New Roman" w:cs="Times New Roman" w:eastAsia="Times New Roman" w:hAnsi="Times New Roman"/>
          <w:sz w:val="22"/>
          <w:szCs w:val="22"/>
        </w:rPr>
        <w:t xml:space="preserve">To examine the association between fiscal discipline and FDI equity inflows using panel regression analysis.</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O4. </w:t>
      </w:r>
      <w:r>
        <w:rPr>
          <w:rFonts w:ascii="Times New Roman" w:cs="Times New Roman" w:eastAsia="Times New Roman" w:hAnsi="Times New Roman"/>
          <w:sz w:val="22"/>
          <w:szCs w:val="22"/>
        </w:rPr>
        <w:t xml:space="preserve">To examine the association between fiscal discipline and GSDP growth.</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O5. </w:t>
      </w:r>
      <w:r>
        <w:rPr>
          <w:rFonts w:ascii="Times New Roman" w:cs="Times New Roman" w:eastAsia="Times New Roman" w:hAnsi="Times New Roman"/>
          <w:sz w:val="22"/>
          <w:szCs w:val="22"/>
        </w:rPr>
        <w:t xml:space="preserve">To independently validate the panel regression findings using interpretable machine learning methods (LASSO regularization and SHAP-based explainable AI), and to assess their stability at small sample size.</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O6. </w:t>
      </w:r>
      <w:r>
        <w:rPr>
          <w:rFonts w:ascii="Times New Roman" w:cs="Times New Roman" w:eastAsia="Times New Roman" w:hAnsi="Times New Roman"/>
          <w:sz w:val="22"/>
          <w:szCs w:val="22"/>
        </w:rPr>
        <w:t xml:space="preserve">To assess the stability of the discipline-FDI relationship across the COVID-19 shock (FY 2020-21) and to interpret the outlier behaviour of Jharkhand and Uttar Pradesh.</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O7. To test the specification choices behind both models directly, through formal diagnostics, a comparison of inference methods, and a specification curve across every defensible combination of modelling choices.</w:t>
      </w:r>
      <w:r>
        <w:rPr>
          <w:rFonts w:ascii="Times New Roman" w:cs="Times New Roman" w:eastAsia="Times New Roman" w:hAnsi="Times New Roman"/>
          <w:sz w:val="22"/>
          <w:szCs w:val="22"/>
        </w:rPr>
        <w:t xml:space="preserve"/>
      </w:r>
    </w:p>
    <w:p>
      <w:pPr>
        <w:spacing w:after="100"/>
      </w:pPr>
      <w:r>
        <w:t xml:space="preserv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4. RESEARCH HYPOTHESES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738"/>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9"/>
                <w:szCs w:val="19"/>
              </w:rPr>
              <w:t xml:space="preserve"/>
            </w:r>
          </w:p>
        </w:tc>
        <w:tc>
          <w:tcPr>
            <w:tcW w:type="dxa" w:w="43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9"/>
                <w:szCs w:val="19"/>
              </w:rPr>
              <w:t xml:space="preserve">Null Hypothesis (H0)</w:t>
            </w:r>
          </w:p>
        </w:tc>
        <w:tc>
          <w:tcPr>
            <w:tcW w:type="dxa" w:w="4738"/>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9"/>
                <w:szCs w:val="19"/>
              </w:rPr>
              <w:t xml:space="preserve">Alternative Hypothesis (H1)</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H1</w:t>
            </w:r>
          </w:p>
        </w:tc>
        <w:tc>
          <w:tcPr>
            <w:tcW w:type="dxa" w:w="4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Fiscal discipline indicators have no significant effect on state-wise FDI inflows.</w:t>
            </w:r>
          </w:p>
        </w:tc>
        <w:tc>
          <w:tcPr>
            <w:tcW w:type="dxa" w:w="47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Lower deficit/debt and higher own tax revenue/capital expenditure are significantly associated with higher FDI inflows.</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H2</w:t>
            </w:r>
          </w:p>
        </w:tc>
        <w:tc>
          <w:tcPr>
            <w:tcW w:type="dxa" w:w="4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Fiscal discipline indicators have no significant effect on GSDP growth.</w:t>
            </w:r>
          </w:p>
        </w:tc>
        <w:tc>
          <w:tcPr>
            <w:tcW w:type="dxa" w:w="47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Fiscal discipline indicators significantly affect GSDP growth.</w:t>
            </w:r>
          </w:p>
        </w:tc>
      </w:tr>
    </w:tbl>
    <w:p>
      <w:pPr>
        <w:spacing w:after="100"/>
      </w:pPr>
      <w:r>
        <w:t xml:space="preserve"/>
      </w:r>
    </w:p>
    <w:p>
      <w:pPr>
        <w:spacing w:after="90" w:before="90" w:line="320"/>
        <w:jc w:val="both"/>
      </w:pPr>
      <w:r>
        <w:rPr>
          <w:rFonts w:ascii="Times New Roman" w:cs="Times New Roman" w:eastAsia="Times New Roman" w:hAnsi="Times New Roman"/>
          <w:b/>
          <w:bCs/>
          <w:sz w:val="22"/>
          <w:szCs w:val="22"/>
        </w:rPr>
        <w:t xml:space="preserve">Result obtained: both hypotheses find support, though H2 through a different channel than originally proposed. H1 holds in the cross-state (pooled) dimension. Debt is negative at -0.176, significant at p = 0.007 under cluster-robust inference and at p = 0.057 under a wild cluster bootstrap appropriate to ten clusters. It is independently corroborated by LASSO, Elastic Net and SHAP, where debt ranks first of five fiscal predictors with perfect rank stability across leave-one-state-out refits, and by a specification curve in which the coefficient is negative in all 88 pooled specifications. H2 holds in the within-state (fixed-effects) dimension, through debt (+1.097, bootstrap p = 0.020) and own tax revenue (+4.083, bootstrap p = 0.028). The fiscal deficit coefficient for growth (-2.172) is significant under Driscoll-Kraay at p = 0.031 but survives neither cluster-robust inference (p = 0.310) nor the bootstrap (p = 0.448), and is therefore not claimed.</w:t>
      </w:r>
      <w:r>
        <w:rPr>
          <w:rFonts w:ascii="Times New Roman" w:cs="Times New Roman" w:eastAsia="Times New Roman" w:hAnsi="Times New Roman"/>
          <w:sz w:val="22"/>
          <w:szCs w:val="22"/>
        </w:rPr>
        <w:t xml:space="preserve"/>
      </w:r>
    </w:p>
    <w:p>
      <w:pPr>
        <w:spacing w:after="100"/>
      </w:pPr>
      <w:r>
        <w:t xml:space="preserv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5. THEORETICAL FRAMEWORK</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(i) Signalling channel — </w:t>
      </w:r>
      <w:r>
        <w:rPr>
          <w:rFonts w:ascii="Times New Roman" w:cs="Times New Roman" w:eastAsia="Times New Roman" w:hAnsi="Times New Roman"/>
          <w:sz w:val="22"/>
          <w:szCs w:val="22"/>
        </w:rPr>
        <w:t xml:space="preserve">Low deficits and sustainable debt signal macro-fiscal stability, reducing perceived investor risk (Misra, Gupta and Trivedi, 2021).</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(ii) Crowding-in channel — </w:t>
      </w:r>
      <w:r>
        <w:rPr>
          <w:rFonts w:ascii="Times New Roman" w:cs="Times New Roman" w:eastAsia="Times New Roman" w:hAnsi="Times New Roman"/>
          <w:sz w:val="22"/>
          <w:szCs w:val="22"/>
        </w:rPr>
        <w:t xml:space="preserve">Higher capital expenditure builds cost-reducing infrastructure; strong own-tax capacity indicates administrative competence.</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(iii) Competition channel — </w:t>
      </w:r>
      <w:r>
        <w:rPr>
          <w:rFonts w:ascii="Times New Roman" w:cs="Times New Roman" w:eastAsia="Times New Roman" w:hAnsi="Times New Roman"/>
          <w:sz w:val="22"/>
          <w:szCs w:val="22"/>
        </w:rPr>
        <w:t xml:space="preserve">Sub-national governments compete for mobile capital; fiscally healthier states have credible headroom to honour commitments (Feld et al., 2024).</w:t>
      </w:r>
    </w:p>
    <w:p>
      <w:pPr>
        <w:spacing w:after="90" w:before="90" w:line="320"/>
        <w:jc w:val="both"/>
      </w:pPr>
      <w:r>
        <w:rPr>
          <w:rFonts w:ascii="Times New Roman" w:cs="Times New Roman" w:eastAsia="Times New Roman" w:hAnsi="Times New Roman"/>
          <w:sz w:val="22"/>
          <w:szCs w:val="22"/>
        </w:rPr>
        <w:t xml:space="preserve">The rival agglomeration hypothesis — FDI follows existing clusters and metropolitan markets irrespective of fiscal metrics — is addressed through state fixed effects, which absorb time-invariant structural advantages, and is further probed through the machine-learning stage, where non-linear tree-based models can in principle detect structural effects that a linear specification would miss.</w:t>
      </w:r>
    </w:p>
    <w:p>
      <w:r>
        <w:br w:type="pag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6. REVIEW OF LITERATURE AND RESEARCH GAP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938"/>
      </w:tblGrid>
      <w:tr>
        <w:trPr>
          <w:tblHeader/>
        </w:trPr>
        <w:tc>
          <w:tcPr>
            <w:tcW w:type="dxa" w:w="27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Study</w:t>
            </w:r>
          </w:p>
        </w:tc>
        <w:tc>
          <w:tcPr>
            <w:tcW w:type="dxa" w:w="40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Scope and Method</w:t>
            </w:r>
          </w:p>
        </w:tc>
        <w:tc>
          <w:tcPr>
            <w:tcW w:type="dxa" w:w="2938"/>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Gap Remaining</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Trivedi &amp; Rajmal (2011), Margin</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14 states, fixed effects; fiscal deficits contract growth</w:t>
            </w:r>
          </w:p>
        </w:tc>
        <w:tc>
          <w:tcPr>
            <w:tcW w:type="dxa" w:w="29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FDI not examined</w:t>
            </w:r>
          </w:p>
        </w:tc>
      </w:tr>
      <w:tr>
        <w:tc>
          <w:tcPr>
            <w:tcW w:type="dxa" w:w="2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Panda &amp; Sahay (2022), Springer</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17 states, FE + 2SLS, 2004-05 to 2016-17; deficit detrimental to GSDP</w:t>
            </w:r>
          </w:p>
        </w:tc>
        <w:tc>
          <w:tcPr>
            <w:tcW w:type="dxa" w:w="29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Pre-2017 window; FDI not examined</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Misra, Gupta &amp; Trivedi (2021), MFEME</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State debt sustainability with guarantees</w:t>
            </w:r>
          </w:p>
        </w:tc>
        <w:tc>
          <w:tcPr>
            <w:tcW w:type="dxa" w:w="29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Not linked to investment outcomes</w:t>
            </w:r>
          </w:p>
        </w:tc>
      </w:tr>
      <w:tr>
        <w:tc>
          <w:tcPr>
            <w:tcW w:type="dxa" w:w="2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NIPFP WP 411 (2024)</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Debt-growth threshold regression, major states</w:t>
            </w:r>
          </w:p>
        </w:tc>
        <w:tc>
          <w:tcPr>
            <w:tcW w:type="dxa" w:w="29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FDI not examined</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NITI Aayog Fiscal Health Index (2025, 2026)</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Composite fiscal ranking, 18 states</w:t>
            </w:r>
          </w:p>
        </w:tc>
        <w:tc>
          <w:tcPr>
            <w:tcW w:type="dxa" w:w="29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Index not validated against any outcome</w:t>
            </w:r>
          </w:p>
        </w:tc>
      </w:tr>
      <w:tr>
        <w:tc>
          <w:tcPr>
            <w:tcW w:type="dxa" w:w="2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Mahatekar (2025), JETIR</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Descriptive state FDI 2019-24</w:t>
            </w:r>
          </w:p>
        </w:tc>
        <w:tc>
          <w:tcPr>
            <w:tcW w:type="dxa" w:w="29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No econometrics; no fiscal variables</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Feld et al. (2024), World Economy</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Cross-country fiscal federalism and FDI</w:t>
            </w:r>
          </w:p>
        </w:tc>
        <w:tc>
          <w:tcPr>
            <w:tcW w:type="dxa" w:w="29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No within-India state analysis</w:t>
            </w:r>
          </w:p>
        </w:tc>
      </w:tr>
    </w:tbl>
    <w:p>
      <w:pPr>
        <w:spacing w:after="100"/>
      </w:pPr>
      <w:r>
        <w:t xml:space="preserve"/>
      </w:r>
    </w:p>
    <w:p>
      <w:pPr>
        <w:spacing w:after="90" w:before="90" w:line="320"/>
        <w:jc w:val="both"/>
      </w:pPr>
      <w:r>
        <w:rPr>
          <w:rFonts w:ascii="Times New Roman" w:cs="Times New Roman" w:eastAsia="Times New Roman" w:hAnsi="Times New Roman"/>
          <w:b/>
          <w:bCs/>
          <w:sz w:val="22"/>
          <w:szCs w:val="22"/>
        </w:rPr>
        <w:t xml:space="preserve">Identified gap: </w:t>
      </w:r>
      <w:r>
        <w:rPr>
          <w:rFonts w:ascii="Times New Roman" w:cs="Times New Roman" w:eastAsia="Times New Roman" w:hAnsi="Times New Roman"/>
          <w:sz w:val="22"/>
          <w:szCs w:val="22"/>
        </w:rPr>
        <w:t xml:space="preserve">no study employs state fiscal variables as direct predictors of state-wise FDI in India, and no fiscal ranking has been validated against FDI outcomes using either econometric or machine-learning methods. This study fills both gaps using the most recent audited data, in a window that additionally brackets the COVID-19 fiscal shock, and adds interpretable ML validation — a methodological contribution increasingly expected in applied economics but not yet applied to Indian sub-national fiscal-FDI research.</w:t>
      </w:r>
    </w:p>
    <w:p>
      <w:pPr>
        <w:spacing w:after="100"/>
      </w:pPr>
      <w:r>
        <w:t xml:space="preserv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7. DATA: THE ANALYSIS DATASET</w:t>
      </w:r>
    </w:p>
    <w:p>
      <w:pPr>
        <w:pStyle w:val="Heading2"/>
        <w:spacing w:after="140" w:before="280"/>
      </w:pPr>
      <w:r>
        <w:rPr>
          <w:rFonts w:ascii="Times New Roman" w:cs="Times New Roman" w:eastAsia="Times New Roman" w:hAnsi="Times New Roman"/>
          <w:b/>
          <w:bCs/>
          <w:color w:val="17375E"/>
          <w:sz w:val="24"/>
          <w:szCs w:val="24"/>
        </w:rPr>
        <w:t xml:space="preserve">7.1 Sample</w:t>
      </w:r>
    </w:p>
    <w:p>
      <w:pPr>
        <w:spacing w:after="90" w:before="90" w:line="320"/>
        <w:jc w:val="both"/>
      </w:pPr>
      <w:r>
        <w:rPr>
          <w:rFonts w:ascii="Times New Roman" w:cs="Times New Roman" w:eastAsia="Times New Roman" w:hAnsi="Times New Roman"/>
          <w:sz w:val="22"/>
          <w:szCs w:val="22"/>
        </w:rPr>
        <w:t xml:space="preserve">Balanced panel: N = 10 states (Maharashtra, Karnataka, Gujarat, Tamil Nadu, Haryana, Telangana, Jharkhand, Rajasthan, West Bengal, Uttar Pradesh) x T = 5 fiscal years (FY 2019-20 to FY 2023-24) = 50 state-year observations; 48 usable for the FDI model (Uttar Pradesh's FDI series commences FY 2021-22; earlier cells are recorded as blank — missing, not zero).</w:t>
      </w:r>
    </w:p>
    <w:p>
      <w:pPr>
        <w:pStyle w:val="Heading2"/>
        <w:spacing w:after="140" w:before="280"/>
      </w:pPr>
      <w:r>
        <w:rPr>
          <w:rFonts w:ascii="Times New Roman" w:cs="Times New Roman" w:eastAsia="Times New Roman" w:hAnsi="Times New Roman"/>
          <w:b/>
          <w:bCs/>
          <w:color w:val="17375E"/>
          <w:sz w:val="24"/>
          <w:szCs w:val="24"/>
        </w:rPr>
        <w:t xml:space="preserve">7.2 The analysis file: MASTER_PANEL_DATASET.csv (23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938"/>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Group</w:t>
            </w:r>
          </w:p>
        </w:tc>
        <w:tc>
          <w:tcPr>
            <w:tcW w:type="dxa" w:w="42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Columns</w:t>
            </w:r>
          </w:p>
        </w:tc>
        <w:tc>
          <w:tcPr>
            <w:tcW w:type="dxa" w:w="2938"/>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Unit / Note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Identifiers</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state; year; year_num</w:t>
            </w:r>
          </w:p>
        </w:tc>
        <w:tc>
          <w:tcPr>
            <w:tcW w:type="dxa" w:w="29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Text / integer</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Independent variables (regression form)</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fiscal_deficit; debt; own_tax_revenue; capex_derived; revenue_deficit (auxiliary)</w:t>
            </w:r>
          </w:p>
        </w:tc>
        <w:tc>
          <w:tcPr>
            <w:tcW w:type="dxa" w:w="29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 of GSDP — CAG-audited actuals, FC-16 Report Vol. II Annexures 5.1-5.5; capex derived as GFD minus RD</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Amount companions (descriptive only)</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fiscal_deficit_amount; debt_amount; own_tax_revenue_amount; capex_derived_amount; revenue_deficit_amount</w:t>
            </w:r>
          </w:p>
        </w:tc>
        <w:tc>
          <w:tcPr>
            <w:tcW w:type="dxa" w:w="29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Rupees crore — computed as % x GSDP / 100</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Dependent variables</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fdi (Rupees crore) with log_fdi as regression form; gsdp_growth (% per year, FY2018-19 base built in)</w:t>
            </w:r>
          </w:p>
        </w:tc>
        <w:tc>
          <w:tcPr>
            <w:tcW w:type="dxa" w:w="29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DPIIT; MoSPI</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Scale variables</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gsdp (Rupees crore); log_gsdp</w:t>
            </w:r>
          </w:p>
        </w:tc>
        <w:tc>
          <w:tcPr>
            <w:tcW w:type="dxa" w:w="29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MoSPI; computed</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Dummies</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covid_dummy (1 = FY2020-21); post_covid_dummy (1 = FY2021-22 onwards)</w:t>
            </w:r>
          </w:p>
        </w:tc>
        <w:tc>
          <w:tcPr>
            <w:tcW w:type="dxa" w:w="29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Constructed</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Time-invariant controls</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literacy; urbanization</w:t>
            </w:r>
          </w:p>
        </w:tc>
        <w:tc>
          <w:tcPr>
            <w:tcW w:type="dxa" w:w="29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Census 2011 — pooled OLS robustness only; EXCLUDED from ML stage (see 8.5)</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Rank variable</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discipline_rank_in_year</w:t>
            </w:r>
          </w:p>
        </w:tc>
        <w:tc>
          <w:tcPr>
            <w:tcW w:type="dxa" w:w="29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Computed year-wise from the four indicators</w:t>
            </w:r>
          </w:p>
        </w:tc>
      </w:tr>
    </w:tbl>
    <w:p>
      <w:pPr>
        <w:spacing w:after="90" w:before="90" w:line="320"/>
        <w:jc w:val="both"/>
      </w:pPr>
      <w:r>
        <w:rPr>
          <w:rFonts w:ascii="Times New Roman" w:cs="Times New Roman" w:eastAsia="Times New Roman" w:hAnsi="Times New Roman"/>
          <w:sz w:val="22"/>
          <w:szCs w:val="22"/>
        </w:rPr>
        <w:t xml:space="preserve">Single-vintage consistency: all fiscal ratios derive from the Sixteenth Finance Commission Report (Volume II, Chapter 5 annexures), computed from CAG-audited States' Finance Accounts over MoSPI comparable GSDP (2011-12 series), adjusted for GST compensation loans.</w:t>
      </w:r>
    </w:p>
    <w:p>
      <w:r>
        <w:br w:type="pag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8. RESEARCH METHODOLOGY</w:t>
      </w:r>
    </w:p>
    <w:p>
      <w:pPr>
        <w:pStyle w:val="Heading2"/>
        <w:spacing w:after="140" w:before="280"/>
      </w:pPr>
      <w:r>
        <w:rPr>
          <w:rFonts w:ascii="Times New Roman" w:cs="Times New Roman" w:eastAsia="Times New Roman" w:hAnsi="Times New Roman"/>
          <w:b/>
          <w:bCs/>
          <w:color w:val="17375E"/>
          <w:sz w:val="24"/>
          <w:szCs w:val="24"/>
        </w:rPr>
        <w:t xml:space="preserve">8.1 Stage I — Descriptive and rank-order analysis [COMPLETE]</w:t>
      </w:r>
    </w:p>
    <w:p>
      <w:pPr>
        <w:spacing w:after="90" w:before="90" w:line="320"/>
        <w:jc w:val="both"/>
      </w:pPr>
      <w:r>
        <w:rPr>
          <w:rFonts w:ascii="Times New Roman" w:cs="Times New Roman" w:eastAsia="Times New Roman" w:hAnsi="Times New Roman"/>
          <w:sz w:val="22"/>
          <w:szCs w:val="22"/>
        </w:rPr>
        <w:t xml:space="preserve">Descriptive statistics, trend charts, and the year-wise composite fiscal discipline ranking were computed from the full panel (Table 1, Table 2, Figures 1-8 in the completed analysis).</w:t>
      </w:r>
    </w:p>
    <w:p>
      <w:pPr>
        <w:pStyle w:val="Heading2"/>
        <w:spacing w:after="140" w:before="280"/>
      </w:pPr>
      <w:r>
        <w:rPr>
          <w:rFonts w:ascii="Times New Roman" w:cs="Times New Roman" w:eastAsia="Times New Roman" w:hAnsi="Times New Roman"/>
          <w:b/>
          <w:bCs/>
          <w:color w:val="17375E"/>
          <w:sz w:val="24"/>
          <w:szCs w:val="24"/>
        </w:rPr>
        <w:t xml:space="preserve">8.2 Stage II — Panel regression specification [COMPLETE]</w:t>
      </w:r>
    </w:p>
    <w:p>
      <w:pPr>
        <w:spacing w:after="140" w:before="140"/>
        <w:jc w:val="center"/>
      </w:pPr>
      <w:r>
        <w:rPr>
          <w:rFonts w:ascii="Cambria Math" w:cs="Cambria Math" w:eastAsia="Cambria Math" w:hAnsi="Cambria Math"/>
          <w:i/>
          <w:iCs/>
          <w:sz w:val="22"/>
          <w:szCs w:val="22"/>
        </w:rPr>
        <w:t xml:space="preserve">Model 1:  ln(FDI)it = a(i) + b1 FD(it) + b2 DEBT(it) + b3 OTR(it) + b4 CAPEX(it) + b5 COVID(t) + e(it)</w:t>
      </w:r>
    </w:p>
    <w:p>
      <w:pPr>
        <w:spacing w:after="140" w:before="140"/>
        <w:jc w:val="center"/>
      </w:pPr>
      <w:r>
        <w:rPr>
          <w:rFonts w:ascii="Cambria Math" w:cs="Cambria Math" w:eastAsia="Cambria Math" w:hAnsi="Cambria Math"/>
          <w:i/>
          <w:iCs/>
          <w:sz w:val="22"/>
          <w:szCs w:val="22"/>
        </w:rPr>
        <w:t xml:space="preserve">Model 2:  GSDPGROWTH(it) = a(i) + g1 FD(it) + g2 DEBT(it) + g3 OTR(it) + g4 CAPEX(it) + g5 COVID(t) + v(it)</w:t>
      </w:r>
    </w:p>
    <w:p>
      <w:pPr>
        <w:spacing w:after="90" w:before="90" w:line="320"/>
        <w:jc w:val="both"/>
      </w:pPr>
      <w:r>
        <w:rPr>
          <w:rFonts w:ascii="Times New Roman" w:cs="Times New Roman" w:eastAsia="Times New Roman" w:hAnsi="Times New Roman"/>
          <w:sz w:val="22"/>
          <w:szCs w:val="22"/>
        </w:rPr>
        <w:t xml:space="preserve">Each model was estimated as (i) entity fixed effects with Driscoll-Kraay standard errors (within-state variation) and (ii) pooled OLS with Census 2011 controls, clustered by state (between-state variation).</w:t>
      </w:r>
    </w:p>
    <w:p>
      <w:pPr>
        <w:pStyle w:val="Heading2"/>
        <w:spacing w:after="140" w:before="280"/>
      </w:pPr>
      <w:r>
        <w:rPr>
          <w:rFonts w:ascii="Times New Roman" w:cs="Times New Roman" w:eastAsia="Times New Roman" w:hAnsi="Times New Roman"/>
          <w:b/>
          <w:bCs/>
          <w:color w:val="17375E"/>
          <w:sz w:val="24"/>
          <w:szCs w:val="24"/>
        </w:rPr>
        <w:t xml:space="preserve">8.3 Results obtained — Stage 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538"/>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Model</w:t>
            </w:r>
          </w:p>
        </w:tc>
        <w:tc>
          <w:tcPr>
            <w:tcW w:type="dxa" w:w="26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Specification</w:t>
            </w:r>
          </w:p>
        </w:tc>
        <w:tc>
          <w:tcPr>
            <w:tcW w:type="dxa" w:w="4538"/>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Key finding</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Model 1 (log FDI)</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Pooled OLS + controls</w:t>
            </w:r>
          </w:p>
        </w:tc>
        <w:tc>
          <w:tcPr>
            <w:tcW w:type="dxa" w:w="45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Debt negative and significant (coef=-0.176; cluster-robust p=0.007, wild bootstrap p=0.057); literacy and capital expenditure significant under cluster-robust inference only and not relied upon; between R²=0.87</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Model 1 (log FDI)</w:t>
            </w:r>
          </w:p>
        </w:tc>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Fixed Effects + Driscoll-Kraay</w:t>
            </w:r>
          </w:p>
        </w:tc>
        <w:tc>
          <w:tcPr>
            <w:tcW w:type="dxa" w:w="45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Deficit and debt positive within-state (COVID-confounded; discussed in 9.2)</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Model 2 (GSDP growth)</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Fixed Effects + Driscoll-Kraay</w:t>
            </w:r>
          </w:p>
        </w:tc>
        <w:tc>
          <w:tcPr>
            <w:tcW w:type="dxa" w:w="45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Debt (+1.097, bootstrap p=0.020) and own tax revenue (+4.083, bootstrap p=0.028) significant; fiscal deficit (-2.17) significant under Driscoll-Kraay (p=0.031) but not under cluster-robust (p=0.310) or bootstrap (p=0.448), and not claimed; COVID dummy -13.8pp; within R²=0.69</w:t>
            </w:r>
          </w:p>
        </w:tc>
      </w:tr>
    </w:tbl>
    <w:p>
      <w:pPr>
        <w:pStyle w:val="Heading2"/>
        <w:spacing w:after="140" w:before="280"/>
      </w:pPr>
      <w:r>
        <w:rPr>
          <w:rFonts w:ascii="Times New Roman" w:cs="Times New Roman" w:eastAsia="Times New Roman" w:hAnsi="Times New Roman"/>
          <w:b/>
          <w:bCs/>
          <w:color w:val="17375E"/>
          <w:sz w:val="24"/>
          <w:szCs w:val="24"/>
        </w:rPr>
        <w:t xml:space="preserve">8.4 Diagnostics [COMPLETE]</w:t>
      </w:r>
    </w:p>
    <w:p>
      <w:pPr>
        <w:pStyle w:val="ListParagraph"/>
        <w:numPr>
          <w:ilvl w:val="0"/>
          <w:numId w:val="2"/>
        </w:numPr>
        <w:spacing w:after="40" w:before="40" w:line="300"/>
      </w:pPr>
      <w:r>
        <w:rPr>
          <w:rFonts w:ascii="Times New Roman" w:cs="Times New Roman" w:eastAsia="Times New Roman" w:hAnsi="Times New Roman"/>
          <w:sz w:val="22"/>
          <w:szCs w:val="22"/>
        </w:rPr>
        <w:t xml:space="preserve">Hausman test attempted for both models and reported including the inconclusive result: not computable for Model 1, because the difference between the fixed- and random-effects covariance matrices is not positive definite, a routine outcome at N=10; for Model 2 it computes at 6.32 (p=0.177), so random effects are not rejected. Fixed effects are retained on consistency and theoretical grounds, reported as a modelling choice rather than a test verdict.</w:t>
      </w:r>
    </w:p>
    <w:p>
      <w:pPr>
        <w:pStyle w:val="ListParagraph"/>
        <w:numPr>
          <w:ilvl w:val="0"/>
          <w:numId w:val="2"/>
        </w:numPr>
        <w:spacing w:after="40" w:before="40" w:line="300"/>
      </w:pPr>
      <w:r>
        <w:rPr>
          <w:rFonts w:ascii="Times New Roman" w:cs="Times New Roman" w:eastAsia="Times New Roman" w:hAnsi="Times New Roman"/>
          <w:sz w:val="22"/>
          <w:szCs w:val="22"/>
        </w:rPr>
        <w:t xml:space="preserve">VIF computed for all four fiscal regressors: all values below 1.7 — no multicollinearity concern.</w:t>
      </w:r>
    </w:p>
    <w:p>
      <w:pPr>
        <w:pStyle w:val="ListParagraph"/>
        <w:numPr>
          <w:ilvl w:val="0"/>
          <w:numId w:val="2"/>
        </w:numPr>
        <w:spacing w:after="40" w:before="40" w:line="300"/>
      </w:pPr>
      <w:r>
        <w:rPr>
          <w:rFonts w:ascii="Times New Roman" w:cs="Times New Roman" w:eastAsia="Times New Roman" w:hAnsi="Times New Roman"/>
          <w:sz w:val="22"/>
          <w:szCs w:val="22"/>
        </w:rPr>
        <w:t xml:space="preserve">F-test for poolability: state effects jointly significant in Model 1 (F=6.74, p&lt;0.0001) but not in Model 2 (F=0.82, p=0.603); Ramsey RESET shows no functional-form misspecification (p=0.246), and log versus inverse-hyperbolic-sine transformations of FDI are indistinguishable.</w:t>
      </w:r>
    </w:p>
    <w:p>
      <w:pPr>
        <w:pStyle w:val="ListParagraph"/>
        <w:numPr>
          <w:ilvl w:val="0"/>
          <w:numId w:val="2"/>
        </w:numPr>
        <w:spacing w:after="40" w:before="40" w:line="300"/>
      </w:pPr>
      <w:r>
        <w:rPr>
          <w:rFonts w:ascii="Times New Roman" w:cs="Times New Roman" w:eastAsia="Times New Roman" w:hAnsi="Times New Roman"/>
          <w:sz w:val="22"/>
          <w:szCs w:val="22"/>
        </w:rPr>
        <w:t xml:space="preserve">Specification curve across 132 defensible specifications (estimator, COVID year, controls, transformation, leave-one-state-out): the debt coefficient is negative in all 88 pooled specifications and positive in all 44 fixed-effects specifications, confirming the between/within contrast is not a specification artefact.</w:t>
      </w:r>
    </w:p>
    <w:p>
      <w:pPr>
        <w:pStyle w:val="ListParagraph"/>
        <w:numPr>
          <w:ilvl w:val="0"/>
          <w:numId w:val="2"/>
        </w:numPr>
        <w:spacing w:after="40" w:before="40" w:line="300"/>
      </w:pPr>
      <w:r>
        <w:rPr>
          <w:rFonts w:ascii="Times New Roman" w:cs="Times New Roman" w:eastAsia="Times New Roman" w:hAnsi="Times New Roman"/>
          <w:sz w:val="22"/>
          <w:szCs w:val="22"/>
        </w:rPr>
        <w:t xml:space="preserve">Pesaran CD and Wooldridge tests run rather than assumed. Model 1 shows neither cross-sectional dependence (CD=0.02, p=0.985) nor serial correlation (p=0.810); Model 2 shows strong cross-sectional dependence (CD=8.40, p&lt;0.0001). Driscoll-Kraay is therefore clearly warranted for Model 2; for Model 1 cluster-robust inference is the more natural default and is reported alongside it. The modified Wald test rejects homoskedasticity across states in both models (p&lt;0.0001), so robust standard errors are justified either way.</w:t>
      </w:r>
    </w:p>
    <w:p>
      <w:pPr>
        <w:pStyle w:val="ListParagraph"/>
        <w:numPr>
          <w:ilvl w:val="0"/>
          <w:numId w:val="2"/>
        </w:numPr>
        <w:spacing w:after="40" w:before="40" w:line="300"/>
      </w:pPr>
      <w:r>
        <w:rPr>
          <w:rFonts w:ascii="Times New Roman" w:cs="Times New Roman" w:eastAsia="Times New Roman" w:hAnsi="Times New Roman"/>
          <w:sz w:val="22"/>
          <w:szCs w:val="22"/>
        </w:rPr>
        <w:t xml:space="preserve">Wild cluster bootstrap-t with the null imposed and Rademacher weights (Cameron, Gelbach and Miller, 2008), 1,999 draws, computed for all nine coefficients the study relies on. At ten clusters neither Driscoll-Kraay (asymptotic in T) nor the cluster-robust t (asymptotic in the number of clusters) is reliable, so the bootstrap arbitrates where they disagree. It was validated in both directions: the COVID dummy in Model 2 returns p = 0.003, while eight pure-noise placebo regressors returned nothing below 0.05. Two verdicts changed as a result, and both are reported, the deficit-growth effect and the significance level of the pooled debt coefficient.</w:t>
      </w:r>
    </w:p>
    <w:p>
      <w:pPr>
        <w:pStyle w:val="ListParagraph"/>
        <w:numPr>
          <w:ilvl w:val="0"/>
          <w:numId w:val="2"/>
        </w:numPr>
        <w:spacing w:after="40" w:before="40" w:line="300"/>
      </w:pPr>
      <w:r>
        <w:rPr>
          <w:rFonts w:ascii="Times New Roman" w:cs="Times New Roman" w:eastAsia="Times New Roman" w:hAnsi="Times New Roman"/>
          <w:sz w:val="22"/>
          <w:szCs w:val="22"/>
        </w:rPr>
        <w:t xml:space="preserve">Inference is reported three ways for every coefficient the study uses: Driscoll-Kraay, cluster-robust by state, and the wild cluster bootstrap, alongside a 2,000-draw cluster bootstrap interval. At T = 5 Driscoll-Kraay returns the tightest of the three intervals instead of the widest, so the cluster-robust column is treated as the conservative reading throughout.</w:t>
      </w:r>
    </w:p>
    <w:p>
      <w:pPr>
        <w:pStyle w:val="ListParagraph"/>
        <w:numPr>
          <w:ilvl w:val="0"/>
          <w:numId w:val="2"/>
        </w:numPr>
        <w:spacing w:after="40" w:before="40" w:line="300"/>
      </w:pPr>
      <w:r>
        <w:rPr>
          <w:rFonts w:ascii="Times New Roman" w:cs="Times New Roman" w:eastAsia="Times New Roman" w:hAnsi="Times New Roman"/>
          <w:sz w:val="22"/>
          <w:szCs w:val="22"/>
        </w:rPr>
        <w:t xml:space="preserve">Instrument-heavy estimators (difference/system GMM) excluded by design, as statistically inappropriate at N=10, T=5.</w:t>
      </w:r>
    </w:p>
    <w:p>
      <w:pPr>
        <w:pStyle w:val="Heading2"/>
        <w:spacing w:after="140" w:before="280"/>
      </w:pPr>
      <w:r>
        <w:rPr>
          <w:rFonts w:ascii="Times New Roman" w:cs="Times New Roman" w:eastAsia="Times New Roman" w:hAnsi="Times New Roman"/>
          <w:b/>
          <w:bCs/>
          <w:color w:val="17375E"/>
          <w:sz w:val="24"/>
          <w:szCs w:val="24"/>
        </w:rPr>
        <w:t xml:space="preserve">8.5 Stage III — Machine Learning Validation [COMPLETE]</w:t>
      </w:r>
    </w:p>
    <w:p>
      <w:pPr>
        <w:spacing w:after="90" w:before="90" w:line="320"/>
        <w:jc w:val="both"/>
      </w:pPr>
      <w:r>
        <w:rPr>
          <w:rFonts w:ascii="Times New Roman" w:cs="Times New Roman" w:eastAsia="Times New Roman" w:hAnsi="Times New Roman"/>
          <w:sz w:val="22"/>
          <w:szCs w:val="22"/>
        </w:rPr>
        <w:t xml:space="preserve">To independently validate the panel regression findings using methods increasingly expected in applied economics research, three interpretable ML lenses — chosen specifically for their credibility at small sample size — were applied, together with five panel-aware safeguards that address the ways in which a naive application of these methods at n = 48 would overstate what the data can support:</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LASSO regularized regression (Tibshirani, 1996) on two specifications mirroring the econometric models: a POOLED specification (raw data, cross-state variation) and a WITHIN specification (state-demeaned data, mirroring fixed effects).</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Elastic Net (Zou and Hastie, 2005) as a robustness cross-check on the LASSO selection, since the two penalise correlated regressors differently.</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Random Forest regression (Breiman, 2001) (1,000 trees, maximum depth 3, minimum leaf size 4 — constraints chosen so that a forest with 48 training rows cannot memorise individual states) with SHAP (SHapley Additive exPlanations; Lundberg and Lee, 2017) values to rank predictors and assess non-linear effects, restricted to the five time-varying regressors (fiscal deficit, debt, own tax revenue, capital expenditure, COVID dummy).</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(d) Panel-aware cross-validation. </w:t>
      </w:r>
      <w:r>
        <w:rPr>
          <w:rFonts w:ascii="Times New Roman" w:cs="Times New Roman" w:eastAsia="Times New Roman" w:hAnsi="Times New Roman"/>
          <w:sz w:val="22"/>
          <w:szCs w:val="22"/>
        </w:rPr>
        <w:t xml:space="preserve">Every cross-validated quantity — the LASSO penalty strength and all out-of-sample figures — uses the ten states as cross-validation groups, so that no state ever appears in both the training and the held-out fold. A row-wise leave-one-out scheme holds out one state-year while retaining that state's other four, leaving the held-out point partly predictable from its own state and inflating the result. Both schemes are reported so that the gap between them is visible.</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(e) Entry order and stability selection. </w:t>
      </w:r>
      <w:r>
        <w:rPr>
          <w:rFonts w:ascii="Times New Roman" w:cs="Times New Roman" w:eastAsia="Times New Roman" w:hAnsi="Times New Roman"/>
          <w:sz w:val="22"/>
          <w:szCs w:val="22"/>
        </w:rPr>
        <w:t xml:space="preserve">Because the cross-validated penalty at this sample size can be light enough that no regressor is eliminated, a table of selected variables can be uninformative on its own. Two supplementary statistics are therefore reported: the penalty strength at which each variable first enters the regularisation path, and a stability-selection exercise in the sense of Meinshausen and Bühlmann (2010), refitting LASSO over a grid of penalties on 500 random subsamples of five of the ten states.</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(f) Within specification. </w:t>
      </w:r>
      <w:r>
        <w:rPr>
          <w:rFonts w:ascii="Times New Roman" w:cs="Times New Roman" w:eastAsia="Times New Roman" w:hAnsi="Times New Roman"/>
          <w:sz w:val="22"/>
          <w:szCs w:val="22"/>
        </w:rPr>
        <w:t xml:space="preserve">LASSO and the Random Forest are additionally fitted to state-demeaned data, which is the algebra a fixed-effects estimator performs. The ML branch is thereby required to reproduce the within-state result as well as the between-state one, and cannot pass the test by learning state identity from raw levels.</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(g) Permutation null. </w:t>
      </w:r>
      <w:r>
        <w:rPr>
          <w:rFonts w:ascii="Times New Roman" w:cs="Times New Roman" w:eastAsia="Times New Roman" w:hAnsi="Times New Roman"/>
          <w:sz w:val="22"/>
          <w:szCs w:val="22"/>
        </w:rPr>
        <w:t xml:space="preserve">The outcome was permuted 500 times and the forest refit on each permutation, recording how often debt ranks first and how often the gap between the first- and second-ranked variable equals or exceeds the observed gap. Some variable must rank first, so the rank alone is not evidence; the margin is what carries weight.</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(h) Out-of-sample honesty. </w:t>
      </w:r>
      <w:r>
        <w:rPr>
          <w:rFonts w:ascii="Times New Roman" w:cs="Times New Roman" w:eastAsia="Times New Roman" w:hAnsi="Times New Roman"/>
          <w:sz w:val="22"/>
          <w:szCs w:val="22"/>
        </w:rPr>
        <w:t xml:space="preserve">Out-of-sample R² is reported for OLS, LASSO, Random Forest and Gradient Boosting under three schemes — row-wise leave-one-out, leave-one-state-out, and forward-chaining by year — not to claim predictive power at 48 observations but to report honestly how much of it exists.</w:t>
      </w:r>
    </w:p>
    <w:p>
      <w:pPr>
        <w:spacing w:after="90" w:before="90" w:line="320"/>
        <w:jc w:val="both"/>
      </w:pPr>
      <w:r>
        <w:rPr>
          <w:rFonts w:ascii="Times New Roman" w:cs="Times New Roman" w:eastAsia="Times New Roman" w:hAnsi="Times New Roman"/>
          <w:sz w:val="22"/>
          <w:szCs w:val="22"/>
        </w:rPr>
        <w:t xml:space="preserve">Methodological note: an initial SHAP specification that included the time-invariant Census controls (literacy, urbanization) wrongly ranked urbanization as the top predictor, because tree-based models can exploit a time-invariant, near-unique regressor as a disguised state identifier rather than learning a genuine fiscal relationship. This is disclosed transparently as good practice and the corrected specification excludes both controls from the ML stage, restricting it to the same regressor set as the Fixed-Effects econometric model.</w:t>
      </w:r>
    </w:p>
    <w:p>
      <w:pPr>
        <w:pStyle w:val="Heading2"/>
        <w:spacing w:after="140" w:before="280"/>
      </w:pPr>
      <w:r>
        <w:rPr>
          <w:rFonts w:ascii="Times New Roman" w:cs="Times New Roman" w:eastAsia="Times New Roman" w:hAnsi="Times New Roman"/>
          <w:b/>
          <w:bCs/>
          <w:color w:val="17375E"/>
          <w:sz w:val="24"/>
          <w:szCs w:val="24"/>
        </w:rPr>
        <w:t xml:space="preserve">8.6 Results obtained — Stage III (Machine Learning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38"/>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Method</w:t>
            </w:r>
          </w:p>
        </w:tc>
        <w:tc>
          <w:tcPr>
            <w:tcW w:type="dxa" w:w="42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Result</w:t>
            </w:r>
          </w:p>
        </w:tc>
        <w:tc>
          <w:tcPr>
            <w:tcW w:type="dxa" w:w="2838"/>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Agreement with econometrics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LASSO (pooled, state-blocked CV)</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Debt: largest standardized coefficient, -1.38 (-1.57 under row-wise CV); next largest is capital expenditure at -0.55</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Matches Pooled OLS sign and significance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LASSO entry order along the path</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Debt enters first, at alpha = 1.02, ahead of capital expenditure (0.61) and fiscal deficit (0.37)</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Debt is the single regressor surviving the harshest shrinkage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Stability selection (500 five-state subsamples)</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Does NOT separate the five: all retained in over 94% of subsamples at the CV penalty; capital expenditure survives the harshest alpha (0.67), debt 0.56</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Reported as a null result — selection and magnitude are different questions at n = 48</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Elastic Net</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Debt: -1.28 standardized (state-blocked CV); -1.48 (row-wise CV)</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Matches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SHAP (Random Forest, OOB R² = 0.402)</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Debt ranks #1 of 5 predictors (mean |SHAP| = 1.03, against 0.22 for fiscal deficit)</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Matches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Leave-one-state-out SHAP rank stability</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Debt ranked #1 in all 10 refits (rank SD = 0.0)</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Confirms finding is not driven by any single state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Permutation null (500 draws)</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Debt tops a permuted outcome 28.5% of the time, so rank alone is weak; the observed first-to-second gap of 0.810 is matched in 0.4% of permutations (p = 0.004)</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The margin, not the rank, is the evidence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WITHIN specification (state-demeaned)</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Debt retained with a POSITIVE coefficient (+0.44) and SHAP rank #1 (0.27); own tax revenue and capital expenditure shrunk to exactly zero</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Independently reproduces the FE sign reversal discussed in 9.2</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Out-of-sample R² (three CV schemes)</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Row-wise LOO 0.44 / 0.42 / 0.40 (OLS / LASSO / RF); leave-one-state-out 0.16 / 0.24 / 0.09; forward-chaining by year 0.27 / 0.26 / 0.24</w:t>
            </w:r>
          </w:p>
        </w:tc>
        <w:tc>
          <w:tcPr>
            <w:tcW w:type="dxa" w:w="28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Flexibility buys nothing out of sample, consistent with a near-linear relationship once debt is in the model</w:t>
            </w:r>
          </w:p>
        </w:tc>
      </w:tr>
    </w:tbl>
    <w:p>
      <w:pPr>
        <w:spacing w:after="90" w:before="90" w:line="320"/>
        <w:jc w:val="both"/>
      </w:pPr>
      <w:r>
        <w:rPr>
          <w:rFonts w:ascii="Times New Roman" w:cs="Times New Roman" w:eastAsia="Times New Roman" w:hAnsi="Times New Roman"/>
          <w:sz w:val="22"/>
          <w:szCs w:val="22"/>
        </w:rPr>
        <w:t xml:space="preserve">Conclusion of the triangulation: four methodologically independent approaches — pooled OLS (linear, parametric), LASSO (regularized linear), Elastic Net (regularized linear, robustness), and SHAP on Random Forest (non-linear, tree-based) — converge on the same finding: debt-to-GSDP is the dominant fiscal predictor of cross-state FDI inflows. The convergence survives a hundredfold variation in penalty strength, the removal of any single state, state-demeaning that strips out all cross-state level variation, and a permutation test of the importance margin (p = 0.004). Two results that do not favour the conclusion are reported alongside those that do — stability selection does not separate the five regressors, and debt tops a permuted outcome 28.5 per cent of the time on rank alone — because the case rests on the margin and on the convergence, not on any single statistic. This corroboration substantially strengthens the credibility of H1.</w:t>
      </w:r>
    </w:p>
    <w:p>
      <w:r>
        <w:br w:type="page"/>
      </w:r>
    </w:p>
    <w:p>
      <w:pPr>
        <w:pStyle w:val="Heading2"/>
        <w:spacing w:after="140" w:before="280"/>
      </w:pPr>
      <w:r>
        <w:rPr>
          <w:rFonts w:ascii="Times New Roman" w:cs="Times New Roman" w:eastAsia="Times New Roman" w:hAnsi="Times New Roman"/>
          <w:b/>
          <w:bCs/>
          <w:color w:val="17375E"/>
          <w:sz w:val="24"/>
          <w:szCs w:val="24"/>
        </w:rPr>
        <w:t xml:space="preserve">8.7 Stage IV — Robustness checks [COMPLETE]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538"/>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Specification</w:t>
            </w:r>
          </w:p>
        </w:tc>
        <w:tc>
          <w:tcPr>
            <w:tcW w:type="dxa" w:w="9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n</w:t>
            </w:r>
          </w:p>
        </w:tc>
        <w:tc>
          <w:tcPr>
            <w:tcW w:type="dxa" w:w="5538"/>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8"/>
                <w:szCs w:val="18"/>
              </w:rPr>
              <w:t xml:space="preserve">Result</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Baseline (all data)</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48</w:t>
            </w:r>
          </w:p>
        </w:tc>
        <w:tc>
          <w:tcPr>
            <w:tcW w:type="dxa" w:w="55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Reference specification</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Excluding COVID year (FY2020-21)</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38</w:t>
            </w:r>
          </w:p>
        </w:tc>
        <w:tc>
          <w:tcPr>
            <w:tcW w:type="dxa" w:w="55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Coefficients stable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Excluding Jharkhand</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43</w:t>
            </w:r>
          </w:p>
        </w:tc>
        <w:tc>
          <w:tcPr>
            <w:tcW w:type="dxa" w:w="55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Within-state deficit effect weakens — flags Jharkhand as a special case</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Excluding Uttar Pradesh</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40</w:t>
            </w:r>
          </w:p>
        </w:tc>
        <w:tc>
          <w:tcPr>
            <w:tcW w:type="dxa" w:w="55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8"/>
                <w:szCs w:val="18"/>
              </w:rPr>
              <w:t xml:space="preserve">Coefficients stable</w:t>
            </w:r>
          </w:p>
        </w:tc>
      </w:tr>
    </w:tbl>
    <w:p>
      <w:pPr>
        <w:spacing w:after="100"/>
      </w:pPr>
      <w:r>
        <w:t xml:space="preserv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9. KEY INTERPRETIVE POINTS FOR THE DISCUSSION CHAPTER</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9.1 The debt-FDI relationship — </w:t>
      </w:r>
      <w:r>
        <w:rPr>
          <w:rFonts w:ascii="Times New Roman" w:cs="Times New Roman" w:eastAsia="Times New Roman" w:hAnsi="Times New Roman"/>
          <w:sz w:val="22"/>
          <w:szCs w:val="22"/>
        </w:rPr>
        <w:t xml:space="preserve">Low-debt states (Gujarat, Maharashtra) systematically attract more FDI than high-debt states (West Bengal, Rajasthan) — a structural, cross-state relationship confirmed by four independent methods.</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9.2 The within/between contrast — </w:t>
      </w:r>
      <w:r>
        <w:rPr>
          <w:rFonts w:ascii="Times New Roman" w:cs="Times New Roman" w:eastAsia="Times New Roman" w:hAnsi="Times New Roman"/>
          <w:sz w:val="22"/>
          <w:szCs w:val="22"/>
        </w:rPr>
        <w:t xml:space="preserve">Within a state over time, deficit and FDI move together positively because the COVID-dominated window compresses fiscal deterioration and FDI recovery into the same years. This is not a contradiction of H1 but a between-versus-within distinction: fiscal discipline is a structural investor signal, not a year-to-year lever.</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9.3 The Jharkhand case — </w:t>
      </w:r>
      <w:r>
        <w:rPr>
          <w:rFonts w:ascii="Times New Roman" w:cs="Times New Roman" w:eastAsia="Times New Roman" w:hAnsi="Times New Roman"/>
          <w:sz w:val="22"/>
          <w:szCs w:val="22"/>
        </w:rPr>
        <w:t xml:space="preserve">Disciplined fiscal metrics alongside a near-total FDI collapse after FY2020-21 demonstrate that fiscal prudence is a necessary signal but not a sufficient condition for FDI attraction.</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9.4 The Uttar Pradesh censoring — </w:t>
      </w:r>
      <w:r>
        <w:rPr>
          <w:rFonts w:ascii="Times New Roman" w:cs="Times New Roman" w:eastAsia="Times New Roman" w:hAnsi="Times New Roman"/>
          <w:sz w:val="22"/>
          <w:szCs w:val="22"/>
        </w:rPr>
        <w:t xml:space="preserve">Excluding UP's two left-censored years does not materially change the debt finding, supporting the robustness of the core result.</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9.5 The inference revision. Driscoll-Kraay standard errors, conventional in this literature, behave anti-conservatively at T = 5, and the deficit-growth result that appeared significant under them does not survive a wild cluster bootstrap. The revision is reported in full rather than absorbed, because the resulting picture still supports both hypotheses, and because the finding that carries the study, the cross-state debt-FDI relationship, is the one resting on convergent evidence instead of a single standard error.</w:t>
      </w:r>
      <w:r>
        <w:rPr>
          <w:rFonts w:ascii="Times New Roman" w:cs="Times New Roman" w:eastAsia="Times New Roman" w:hAnsi="Times New Roman"/>
          <w:sz w:val="22"/>
          <w:szCs w:val="22"/>
        </w:rPr>
        <w:t xml:space="preserve"/>
      </w:r>
    </w:p>
    <w:p>
      <w:pPr>
        <w:spacing w:after="100"/>
      </w:pPr>
      <w:r>
        <w:t xml:space="preserv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10. SCOPE AND LIMITATIONS</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Sample size. </w:t>
      </w:r>
      <w:r>
        <w:rPr>
          <w:rFonts w:ascii="Times New Roman" w:cs="Times New Roman" w:eastAsia="Times New Roman" w:hAnsi="Times New Roman"/>
          <w:sz w:val="22"/>
          <w:szCs w:val="22"/>
        </w:rPr>
        <w:t xml:space="preserve">50 (48) observations; ML methods were deliberately restricted to LASSO, Elastic Net, and shallow Random Forest/SHAP — all credible at this sample size — while deep learning and instrument-heavy GMM were excluded as inappropriate. Out-of-sample R² under the state-blocked cross-validation scheme is correspondingly modest, 0.09 to 0.24 across models, and is reported rather than suppressed: the ML stage validates an in-sample ranking and makes no forecasting claim.</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FDI recording. </w:t>
      </w:r>
      <w:r>
        <w:rPr>
          <w:rFonts w:ascii="Times New Roman" w:cs="Times New Roman" w:eastAsia="Times New Roman" w:hAnsi="Times New Roman"/>
          <w:sz w:val="22"/>
          <w:szCs w:val="22"/>
        </w:rPr>
        <w:t xml:space="preserve">DPIIT maintains state-wise FDI only from October 2019; FY 2019-20 is a six-month flow, and Uttar Pradesh's series begins FY 2021-22.</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Derived regressor. </w:t>
      </w:r>
      <w:r>
        <w:rPr>
          <w:rFonts w:ascii="Times New Roman" w:cs="Times New Roman" w:eastAsia="Times New Roman" w:hAnsi="Times New Roman"/>
          <w:sz w:val="22"/>
          <w:szCs w:val="22"/>
        </w:rPr>
        <w:t xml:space="preserve">Capital expenditure is derived (GFD minus RD) and includes net lending, marginally exceeding pure capital outlay.</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ML scope. </w:t>
      </w:r>
      <w:r>
        <w:rPr>
          <w:rFonts w:ascii="Times New Roman" w:cs="Times New Roman" w:eastAsia="Times New Roman" w:hAnsi="Times New Roman"/>
          <w:sz w:val="22"/>
          <w:szCs w:val="22"/>
        </w:rPr>
        <w:t xml:space="preserve">Time-invariant controls (literacy, urbanization) were excluded from the ML stage after diagnosing a state-identity leakage effect, restricting the ML branch to the same five fiscal regressors as the Fixed-Effects model. It is estimated in both pooled and state-demeaned (within) form, so it validates both econometric dimensions rather than the cross-state one alone. What it does not cover is the Census controls carried by the pooled OLS specification, which cannot be admitted to a tree model on a five-year panel of ten states without reintroducing the leakage.</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Causality. </w:t>
      </w:r>
      <w:r>
        <w:rPr>
          <w:rFonts w:ascii="Times New Roman" w:cs="Times New Roman" w:eastAsia="Times New Roman" w:hAnsi="Times New Roman"/>
          <w:sz w:val="22"/>
          <w:szCs w:val="22"/>
        </w:rPr>
        <w:t xml:space="preserve">Association, not proven causation; reverse causality cannot be excluded with T = 5.</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Inference at ten clusters. </w:t>
      </w:r>
      <w:r>
        <w:rPr>
          <w:rFonts w:ascii="Times New Roman" w:cs="Times New Roman" w:eastAsia="Times New Roman" w:hAnsi="Times New Roman"/>
          <w:sz w:val="22"/>
          <w:szCs w:val="22"/>
        </w:rPr>
        <w:t xml:space="preserve">With N = 10 the cluster-robust t-distribution is unreliable, and Driscoll-Kraay is asymptotic in T, of which there are five. Every coefficient the study relies on is reported under three inference methods, with the wild cluster bootstrap as the arbiter. Under that stricter standard the headline cross-state debt coefficient is significant at the 10 per cent level (p = 0.057) rather than the 5 per cent level, and two secondary pooled results, literacy and capital expenditure, do not survive at all.</w:t>
      </w:r>
    </w:p>
    <w:p>
      <w:pPr>
        <w:pStyle w:val="ListParagraph"/>
        <w:numPr>
          <w:ilvl w:val="0"/>
          <w:numId w:val="2"/>
        </w:numPr>
        <w:spacing w:after="40" w:before="40" w:line="300"/>
      </w:pPr>
      <w:r>
        <w:rPr>
          <w:rFonts w:ascii="Times New Roman" w:cs="Times New Roman" w:eastAsia="Times New Roman" w:hAnsi="Times New Roman"/>
          <w:b/>
          <w:bCs/>
          <w:sz w:val="22"/>
          <w:szCs w:val="22"/>
        </w:rPr>
        <w:t xml:space="preserve">Hidden liabilities. </w:t>
      </w:r>
      <w:r>
        <w:rPr>
          <w:rFonts w:ascii="Times New Roman" w:cs="Times New Roman" w:eastAsia="Times New Roman" w:hAnsi="Times New Roman"/>
          <w:sz w:val="22"/>
          <w:szCs w:val="22"/>
        </w:rPr>
        <w:t xml:space="preserve">Off-budget borrowings and guarantees (notably Telangana's, approximately 14-15 per cent of GSDP) lie outside the official debt measure.</w:t>
      </w:r>
    </w:p>
    <w:p>
      <w:pPr>
        <w:spacing w:after="100"/>
      </w:pPr>
      <w:r>
        <w:t xml:space="preserv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11. EXPECTED CONTRIBUTION</w:t>
      </w:r>
    </w:p>
    <w:p>
      <w:pPr>
        <w:pStyle w:val="ListParagraph"/>
        <w:numPr>
          <w:ilvl w:val="0"/>
          <w:numId w:val="2"/>
        </w:numPr>
        <w:spacing w:after="40" w:before="40" w:line="300"/>
      </w:pPr>
      <w:r>
        <w:rPr>
          <w:rFonts w:ascii="Times New Roman" w:cs="Times New Roman" w:eastAsia="Times New Roman" w:hAnsi="Times New Roman"/>
          <w:sz w:val="22"/>
          <w:szCs w:val="22"/>
        </w:rPr>
        <w:t xml:space="preserve">First direct econometric test of state fiscal variables as predictors of state-wise FDI in India.</w:t>
      </w:r>
    </w:p>
    <w:p>
      <w:pPr>
        <w:pStyle w:val="ListParagraph"/>
        <w:numPr>
          <w:ilvl w:val="0"/>
          <w:numId w:val="2"/>
        </w:numPr>
        <w:spacing w:after="40" w:before="40" w:line="300"/>
      </w:pPr>
      <w:r>
        <w:rPr>
          <w:rFonts w:ascii="Times New Roman" w:cs="Times New Roman" w:eastAsia="Times New Roman" w:hAnsi="Times New Roman"/>
          <w:sz w:val="22"/>
          <w:szCs w:val="22"/>
        </w:rPr>
        <w:t xml:space="preserve">First application of interpretable machine learning (LASSO, Elastic Net, SHAP) to validate a sub-national fiscal-FDI relationship in India, with transparent disclosure of a methodological pitfall (time-invariant variable leakage in tree models) and its correction. The importance ranking is additionally tested against a permutation null, re-estimated on state-demeaned data, and cross-validated with the states as groups rather than row-wise — three safeguards standard in the machine-learning literature but rare in applied Indian public finance.</w:t>
      </w:r>
    </w:p>
    <w:p>
      <w:pPr>
        <w:pStyle w:val="ListParagraph"/>
        <w:numPr>
          <w:ilvl w:val="0"/>
          <w:numId w:val="2"/>
        </w:numPr>
        <w:spacing w:after="40" w:before="40" w:line="300"/>
      </w:pPr>
      <w:r>
        <w:rPr>
          <w:rFonts w:ascii="Times New Roman" w:cs="Times New Roman" w:eastAsia="Times New Roman" w:hAnsi="Times New Roman"/>
          <w:sz w:val="22"/>
          <w:szCs w:val="22"/>
        </w:rPr>
        <w:t xml:space="preserve">A year-wise fiscal discipline ranking validated against an economic outcome using both econometric and ML methods — unlike existing rankings (NITI Aayog FHI), which are outcome-agnostic.</w:t>
      </w:r>
    </w:p>
    <w:p>
      <w:pPr>
        <w:pStyle w:val="ListParagraph"/>
        <w:numPr>
          <w:ilvl w:val="0"/>
          <w:numId w:val="2"/>
        </w:numPr>
        <w:spacing w:after="40" w:before="40" w:line="300"/>
      </w:pPr>
      <w:r>
        <w:rPr>
          <w:rFonts w:ascii="Times New Roman" w:cs="Times New Roman" w:eastAsia="Times New Roman" w:hAnsi="Times New Roman"/>
          <w:sz w:val="22"/>
          <w:szCs w:val="22"/>
        </w:rPr>
        <w:t xml:space="preserve">Documentation of two policy-relevant anomalies: the Uttar Pradesh data-censoring artefact and the Jharkhand case.</w:t>
      </w:r>
    </w:p>
    <w:p>
      <w:pPr>
        <w:pStyle w:val="ListParagraph"/>
        <w:numPr>
          <w:ilvl w:val="0"/>
          <w:numId w:val="2"/>
        </w:numPr>
        <w:spacing w:after="40" w:before="40" w:line="300"/>
      </w:pPr>
      <w:r>
        <w:rPr>
          <w:rFonts w:ascii="Times New Roman" w:cs="Times New Roman" w:eastAsia="Times New Roman" w:hAnsi="Times New Roman"/>
          <w:sz w:val="22"/>
          <w:szCs w:val="22"/>
        </w:rPr>
        <w:t xml:space="preserve">A fully reproducible, single-vintage audited dataset with complete econometric and ML code, published openly with the manuscript at https://github.com/fbivinay/Fiscal-Discipline-and-Investment-Outcomes, including the superseded seven-variable ML run so that the disclosed leakage diagnosis can be verified.</w:t>
      </w:r>
    </w:p>
    <w:p>
      <w:pPr>
        <w:spacing w:after="100"/>
      </w:pPr>
      <w:r>
        <w:t xml:space="preserv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12. CHAPTERISATION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538"/>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9"/>
                <w:szCs w:val="19"/>
              </w:rPr>
              <w:t xml:space="preserve">Chapter</w:t>
            </w:r>
          </w:p>
        </w:tc>
        <w:tc>
          <w:tcPr>
            <w:tcW w:type="dxa" w:w="32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9"/>
                <w:szCs w:val="19"/>
              </w:rPr>
              <w:t xml:space="preserve">Title</w:t>
            </w:r>
          </w:p>
        </w:tc>
        <w:tc>
          <w:tcPr>
            <w:tcW w:type="dxa" w:w="5538"/>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9"/>
                <w:szCs w:val="19"/>
              </w:rPr>
              <w:t xml:space="preserve">Contents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I</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Introduction</w:t>
            </w:r>
          </w:p>
        </w:tc>
        <w:tc>
          <w:tcPr>
            <w:tcW w:type="dxa" w:w="55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Background, problem, objectives, hypotheses, significance</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II</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Review of Literature</w:t>
            </w:r>
          </w:p>
        </w:tc>
        <w:tc>
          <w:tcPr>
            <w:tcW w:type="dxa" w:w="55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Fiscal-growth studies; FDI determinants; fiscal indices; the gap</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III</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Data and Research Methodology</w:t>
            </w:r>
          </w:p>
        </w:tc>
        <w:tc>
          <w:tcPr>
            <w:tcW w:type="dxa" w:w="55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Sample, variable construction, econometric models, ML methods, diagnostics</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IV</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Analysis and Interpretation</w:t>
            </w:r>
          </w:p>
        </w:tc>
        <w:tc>
          <w:tcPr>
            <w:tcW w:type="dxa" w:w="55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Descriptives, trends, rankings, regression results, ML validation results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V</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Findings, Discussion and Policy Implications</w:t>
            </w:r>
          </w:p>
        </w:tc>
        <w:tc>
          <w:tcPr>
            <w:tcW w:type="dxa" w:w="55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Hypothesis-wise findings; UP and Jharkhand cases; between/within contrast; policy</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VI</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Conclusion, Limitations and Future Research</w:t>
            </w:r>
          </w:p>
        </w:tc>
        <w:tc>
          <w:tcPr>
            <w:tcW w:type="dxa" w:w="55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Summary; limitations; extensions</w:t>
            </w:r>
          </w:p>
        </w:tc>
      </w:tr>
    </w:tbl>
    <w:p>
      <w:pPr>
        <w:spacing w:after="100"/>
      </w:pPr>
      <w:r>
        <w:t xml:space="preserv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13. REMAINING WORK PLAN</w:t>
      </w:r>
    </w:p>
    <w:tbl>
      <w:tblPr>
        <w:tblW w:type="dxa" w:w="8938"/>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2938"/>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9"/>
                <w:szCs w:val="19"/>
              </w:rPr>
              <w:t xml:space="preserve">Phase</w:t>
            </w:r>
          </w:p>
        </w:tc>
        <w:tc>
          <w:tcPr>
            <w:tcW w:type="dxa" w:w="5300"/>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9"/>
                <w:szCs w:val="19"/>
              </w:rPr>
              <w:t xml:space="preserve">Activity</w:t>
            </w:r>
          </w:p>
        </w:tc>
        <w:tc>
          <w:tcPr>
            <w:tcW w:type="dxa" w:w="2938"/>
            <w:tcBorders>
              <w:top w:val="single" w:color="BBBBBB" w:sz="1"/>
              <w:left w:val="single" w:color="BBBBBB" w:sz="1"/>
              <w:bottom w:val="single" w:color="BBBBBB" w:sz="1"/>
              <w:right w:val="single" w:color="BBBBBB" w:sz="1"/>
            </w:tcBorders>
            <w:shd w:fill="1F4E79" w:val="clear"/>
            <w:tcMar>
              <w:top w:type="dxa" w:w="70"/>
              <w:left w:type="dxa" w:w="100"/>
              <w:bottom w:type="dxa" w:w="70"/>
              <w:right w:type="dxa" w:w="100"/>
            </w:tcMar>
          </w:tcPr>
          <w:p>
            <w:pPr>
              <w:jc w:val="center"/>
            </w:pPr>
            <w:r>
              <w:rPr>
                <w:rFonts w:ascii="Times New Roman" w:cs="Times New Roman" w:eastAsia="Times New Roman" w:hAnsi="Times New Roman"/>
                <w:b/>
                <w:bCs/>
                <w:color w:val="FFFFFF"/>
                <w:sz w:val="19"/>
                <w:szCs w:val="19"/>
              </w:rPr>
              <w:t xml:space="preserve">Status</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I</w:t>
            </w:r>
          </w:p>
        </w:tc>
        <w:tc>
          <w:tcPr>
            <w:tcW w:type="dxa" w:w="5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Descriptive statistics, trends, rankings</w:t>
            </w:r>
          </w:p>
        </w:tc>
        <w:tc>
          <w:tcPr>
            <w:tcW w:type="dxa" w:w="29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II</w:t>
            </w:r>
          </w:p>
        </w:tc>
        <w:tc>
          <w:tcPr>
            <w:tcW w:type="dxa" w:w="5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Panel regressions (Models 1-2) with diagnostics</w:t>
            </w:r>
          </w:p>
        </w:tc>
        <w:tc>
          <w:tcPr>
            <w:tcW w:type="dxa" w:w="29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III</w:t>
            </w:r>
          </w:p>
        </w:tc>
        <w:tc>
          <w:tcPr>
            <w:tcW w:type="dxa" w:w="5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Robustness checks</w:t>
            </w:r>
          </w:p>
        </w:tc>
        <w:tc>
          <w:tcPr>
            <w:tcW w:type="dxa" w:w="29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IV</w:t>
            </w:r>
          </w:p>
        </w:tc>
        <w:tc>
          <w:tcPr>
            <w:tcW w:type="dxa" w:w="5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ML validation (LASSO, Elastic Net, SHAP, stability check)</w:t>
            </w:r>
          </w:p>
        </w:tc>
        <w:tc>
          <w:tcPr>
            <w:tcW w:type="dxa" w:w="29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V</w:t>
            </w:r>
          </w:p>
        </w:tc>
        <w:tc>
          <w:tcPr>
            <w:tcW w:type="dxa" w:w="5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Interpretation and drafting of Chapters IV-V</w:t>
            </w:r>
          </w:p>
        </w:tc>
        <w:tc>
          <w:tcPr>
            <w:tcW w:type="dxa" w:w="293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VI</w:t>
            </w:r>
          </w:p>
        </w:tc>
        <w:tc>
          <w:tcPr>
            <w:tcW w:type="dxa" w:w="5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Drafting remaining chapters; revision; references; final read-through</w:t>
            </w:r>
          </w:p>
          <w:p>
            <w:r>
              <w:rPr>
                <w:rFonts w:ascii="Times New Roman" w:cs="Times New Roman" w:eastAsia="Times New Roman" w:hAnsi="Times New Roman"/>
                <w:sz w:val="19"/>
                <w:szCs w:val="19"/>
              </w:rPr>
              <w:t xml:space="preserve">VII. Specification testing, three-way inference comparison, and the 132-specification curve [COMPLETE]</w:t>
            </w:r>
          </w:p>
          <w:p>
            <w:r>
              <w:rPr>
                <w:rFonts w:ascii="Times New Roman" w:cs="Times New Roman" w:eastAsia="Times New Roman" w:hAnsi="Times New Roman"/>
                <w:sz w:val="19"/>
                <w:szCs w:val="19"/>
              </w:rPr>
              <w:t xml:space="preserve">VIII. Publication of the dataset, analysis code, diagnostic output and manuscript to a public repository [COMPLETE]</w:t>
            </w:r>
          </w:p>
        </w:tc>
        <w:tc>
          <w:tcPr>
            <w:tcW w:type="dxa" w:w="2938"/>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bl>
    <w:p>
      <w:pPr>
        <w:spacing w:after="100"/>
      </w:pPr>
      <w:r>
        <w:t xml:space="preserve"/>
      </w:r>
    </w:p>
    <w:p>
      <w:pPr>
        <w:spacing w:after="90" w:before="90" w:line="320"/>
        <w:jc w:val="both"/>
      </w:pPr>
      <w:r>
        <w:rPr>
          <w:rFonts w:ascii="Times New Roman" w:cs="Times New Roman" w:eastAsia="Times New Roman" w:hAnsi="Times New Roman"/>
          <w:b/>
          <w:bCs/>
          <w:sz w:val="22"/>
          <w:szCs w:val="22"/>
        </w:rPr>
        <w:t xml:space="preserve">All phases are complete. Beyond the plan as originally written, the study added a specification-testing stage (formal diagnostics, a three-way inference comparison, and a 132-specification curve), corrected the machine-learning stage for state-identity leakage, and restated H2 on the channel that survives a wild cluster bootstrap. The dataset, the analysis code, the diagnostic output and the manuscript are published at https://github.com/fbivinay/Fiscal-Discipline-and-Investment-Outcomes.</w:t>
      </w:r>
    </w:p>
    <w:p>
      <w:r>
        <w:br w:type="page"/>
      </w:r>
    </w:p>
    <w:p>
      <w:pPr>
        <w:pStyle w:val="Heading1"/>
        <w:pBdr>
          <w:bottom w:val="single" w:color="1F4E79" w:sz="8" w:space="2"/>
        </w:pBdr>
        <w:spacing w:after="200" w:before="420"/>
      </w:pPr>
      <w:r>
        <w:rPr>
          <w:rFonts w:ascii="Times New Roman" w:cs="Times New Roman" w:eastAsia="Times New Roman" w:hAnsi="Times New Roman"/>
          <w:b/>
          <w:bCs/>
          <w:color w:val="1F4E79"/>
          <w:sz w:val="28"/>
          <w:szCs w:val="28"/>
        </w:rPr>
        <w:t xml:space="preserve">14. SELECT REFERENCES</w:t>
      </w:r>
    </w:p>
    <w:p>
      <w:pPr>
        <w:spacing w:after="90" w:before="90" w:line="320"/>
        <w:jc w:val="both"/>
      </w:pPr>
      <w:r>
        <w:rPr>
          <w:rFonts w:ascii="Times New Roman" w:cs="Times New Roman" w:eastAsia="Times New Roman" w:hAnsi="Times New Roman"/>
          <w:sz w:val="22"/>
          <w:szCs w:val="22"/>
        </w:rPr>
        <w:t xml:space="preserve">Breiman, L. (2001). Random forests. Machine Learning, 45(1), 5-32.</w:t>
      </w:r>
    </w:p>
    <w:p>
      <w:pPr>
        <w:spacing w:after="90" w:before="90" w:line="320"/>
        <w:jc w:val="both"/>
      </w:pPr>
      <w:r>
        <w:rPr>
          <w:rFonts w:ascii="Times New Roman" w:cs="Times New Roman" w:eastAsia="Times New Roman" w:hAnsi="Times New Roman"/>
          <w:sz w:val="22"/>
          <w:szCs w:val="22"/>
        </w:rPr>
        <w:t xml:space="preserve">Cameron, A. C., Gelbach, J. B., &amp; Miller, D. L. (2008). Bootstrap-based improvements for inference with clustered errors. Review of Economics and Statistics, 90(3), 414-427.</w:t>
      </w:r>
    </w:p>
    <w:p>
      <w:pPr>
        <w:spacing w:after="90" w:before="90" w:line="320"/>
        <w:jc w:val="both"/>
      </w:pPr>
      <w:r>
        <w:rPr>
          <w:rFonts w:ascii="Times New Roman" w:cs="Times New Roman" w:eastAsia="Times New Roman" w:hAnsi="Times New Roman"/>
          <w:sz w:val="22"/>
          <w:szCs w:val="22"/>
        </w:rPr>
        <w:t xml:space="preserve">Feld, L. P., et al. (2024). Fiscal federalism and foreign direct investment — An empirical analysis. The World Economy.</w:t>
      </w:r>
    </w:p>
    <w:p>
      <w:pPr>
        <w:spacing w:after="90" w:before="90" w:line="320"/>
        <w:jc w:val="both"/>
      </w:pPr>
      <w:r>
        <w:rPr>
          <w:rFonts w:ascii="Times New Roman" w:cs="Times New Roman" w:eastAsia="Times New Roman" w:hAnsi="Times New Roman"/>
          <w:sz w:val="22"/>
          <w:szCs w:val="22"/>
        </w:rPr>
        <w:t xml:space="preserve">Government of India (2025). Report of the Sixteenth Finance Commission, Volume II: Annexures. Ministry of Finance.</w:t>
      </w:r>
    </w:p>
    <w:p>
      <w:pPr>
        <w:spacing w:after="90" w:before="90" w:line="320"/>
        <w:jc w:val="both"/>
      </w:pPr>
      <w:r>
        <w:rPr>
          <w:rFonts w:ascii="Times New Roman" w:cs="Times New Roman" w:eastAsia="Times New Roman" w:hAnsi="Times New Roman"/>
          <w:sz w:val="22"/>
          <w:szCs w:val="22"/>
        </w:rPr>
        <w:t xml:space="preserve">Lundberg, S. M., &amp; Lee, S.-I. (2017). A unified approach to interpreting model predictions. Advances in Neural Information Processing Systems (SHAP).</w:t>
      </w:r>
    </w:p>
    <w:p>
      <w:pPr>
        <w:spacing w:after="90" w:before="90" w:line="320"/>
        <w:jc w:val="both"/>
      </w:pPr>
      <w:r>
        <w:rPr>
          <w:rFonts w:ascii="Times New Roman" w:cs="Times New Roman" w:eastAsia="Times New Roman" w:hAnsi="Times New Roman"/>
          <w:sz w:val="22"/>
          <w:szCs w:val="22"/>
        </w:rPr>
        <w:t xml:space="preserve">Mahatekar, R. (2025). State-wise FDI flows and economic impacts in India (2019-2024). JETIR.</w:t>
      </w:r>
    </w:p>
    <w:p>
      <w:pPr>
        <w:spacing w:after="90" w:before="90" w:line="320"/>
        <w:jc w:val="both"/>
      </w:pPr>
      <w:r>
        <w:rPr>
          <w:rFonts w:ascii="Times New Roman" w:cs="Times New Roman" w:eastAsia="Times New Roman" w:hAnsi="Times New Roman"/>
          <w:sz w:val="22"/>
          <w:szCs w:val="22"/>
        </w:rPr>
        <w:t xml:space="preserve">Meinshausen, N., &amp; Bühlmann, P. (2010). Stability selection. Journal of the Royal Statistical Society, Series B, 72(4), 417-473.</w:t>
      </w:r>
    </w:p>
    <w:p>
      <w:pPr>
        <w:spacing w:after="90" w:before="90" w:line="320"/>
        <w:jc w:val="both"/>
      </w:pPr>
      <w:r>
        <w:rPr>
          <w:rFonts w:ascii="Times New Roman" w:cs="Times New Roman" w:eastAsia="Times New Roman" w:hAnsi="Times New Roman"/>
          <w:sz w:val="22"/>
          <w:szCs w:val="22"/>
        </w:rPr>
        <w:t xml:space="preserve">Misra, S., Gupta, K., &amp; Trivedi, P. (2021). Sub-national government debt sustainability in India. Macroeconomics and Finance in Emerging Market Economies.</w:t>
      </w:r>
    </w:p>
    <w:p>
      <w:pPr>
        <w:spacing w:after="90" w:before="90" w:line="320"/>
        <w:jc w:val="both"/>
      </w:pPr>
      <w:r>
        <w:rPr>
          <w:rFonts w:ascii="Times New Roman" w:cs="Times New Roman" w:eastAsia="Times New Roman" w:hAnsi="Times New Roman"/>
          <w:sz w:val="22"/>
          <w:szCs w:val="22"/>
        </w:rPr>
        <w:t xml:space="preserve">NIPFP (2024). How much debt is optimal for the major Indian states? Working Paper No. 411.</w:t>
      </w:r>
    </w:p>
    <w:p>
      <w:pPr>
        <w:spacing w:after="90" w:before="90" w:line="320"/>
        <w:jc w:val="both"/>
      </w:pPr>
      <w:r>
        <w:rPr>
          <w:rFonts w:ascii="Times New Roman" w:cs="Times New Roman" w:eastAsia="Times New Roman" w:hAnsi="Times New Roman"/>
          <w:sz w:val="22"/>
          <w:szCs w:val="22"/>
        </w:rPr>
        <w:t xml:space="preserve">NITI Aayog (2025). Fiscal Health Index 2025. Government of India.</w:t>
      </w:r>
    </w:p>
    <w:p>
      <w:pPr>
        <w:spacing w:after="90" w:before="90" w:line="320"/>
        <w:jc w:val="both"/>
      </w:pPr>
      <w:r>
        <w:rPr>
          <w:rFonts w:ascii="Times New Roman" w:cs="Times New Roman" w:eastAsia="Times New Roman" w:hAnsi="Times New Roman"/>
          <w:sz w:val="22"/>
          <w:szCs w:val="22"/>
        </w:rPr>
        <w:t xml:space="preserve">Panda, D., &amp; Sahay, A. (2022). Determinants of economic growth across states in India. Springer India Studies in Business and Economics.</w:t>
      </w:r>
    </w:p>
    <w:p>
      <w:pPr>
        <w:spacing w:after="90" w:before="90" w:line="320"/>
        <w:jc w:val="both"/>
      </w:pPr>
      <w:r>
        <w:rPr>
          <w:rFonts w:ascii="Times New Roman" w:cs="Times New Roman" w:eastAsia="Times New Roman" w:hAnsi="Times New Roman"/>
          <w:sz w:val="22"/>
          <w:szCs w:val="22"/>
        </w:rPr>
        <w:t xml:space="preserve">Reserve Bank of India (various years). State Finances: A Study of Budgets. RBI, Mumbai.</w:t>
      </w:r>
    </w:p>
    <w:p>
      <w:pPr>
        <w:spacing w:after="90" w:before="90" w:line="320"/>
        <w:jc w:val="both"/>
      </w:pPr>
      <w:r>
        <w:rPr>
          <w:rFonts w:ascii="Times New Roman" w:cs="Times New Roman" w:eastAsia="Times New Roman" w:hAnsi="Times New Roman"/>
          <w:sz w:val="22"/>
          <w:szCs w:val="22"/>
        </w:rPr>
        <w:t xml:space="preserve">Tibshirani, R. (1996). Regression shrinkage and selection via the LASSO. Journal of the Royal Statistical Society, Series B.</w:t>
      </w:r>
    </w:p>
    <w:p>
      <w:pPr>
        <w:spacing w:after="90" w:before="90" w:line="320"/>
        <w:jc w:val="both"/>
      </w:pPr>
      <w:r>
        <w:rPr>
          <w:rFonts w:ascii="Times New Roman" w:cs="Times New Roman" w:eastAsia="Times New Roman" w:hAnsi="Times New Roman"/>
          <w:sz w:val="22"/>
          <w:szCs w:val="22"/>
        </w:rPr>
        <w:t xml:space="preserve">Trivedi, P., &amp; Rajmal (2011). Growth effects of fiscal policy of Indian states. Margin: The Journal of Applied Economic Research, 5(2).</w:t>
      </w:r>
    </w:p>
    <w:p>
      <w:pPr>
        <w:spacing w:after="90" w:before="90" w:line="320"/>
        <w:jc w:val="both"/>
      </w:pPr>
      <w:r>
        <w:rPr>
          <w:rFonts w:ascii="Times New Roman" w:cs="Times New Roman" w:eastAsia="Times New Roman" w:hAnsi="Times New Roman"/>
          <w:sz w:val="22"/>
          <w:szCs w:val="22"/>
        </w:rPr>
        <w:t xml:space="preserve">Zou, H., &amp; Hastie, T. (2005). Regularization and variable selection via the elastic net. Journal of the Royal Statistical Society, Series B, 67(2), 301-320.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2026-07-24T15:26:10.636Z</dcterms:created>
  <dcterms:modified xsi:type="dcterms:W3CDTF">2026-07-24T15:26:10.648Z</dcterms:modified>
</cp:coreProperties>
</file>

<file path=docProps/custom.xml><?xml version="1.0" encoding="utf-8"?>
<Properties xmlns="http://schemas.openxmlformats.org/officeDocument/2006/custom-properties" xmlns:vt="http://schemas.openxmlformats.org/officeDocument/2006/docPropsVTypes"/>
</file>