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b/>
          <w:bCs/>
          <w:color w:val="1A1F3D"/>
          <w:sz w:val="36"/>
          <w:szCs w:val="36"/>
        </w:rPr>
        <w:t xml:space="preserve">AUFTRAGSVERARBEITUNGSVERTRAG</w:t>
      </w:r>
    </w:p>
    <w:p>
      <w:pPr>
        <w:spacing w:after="120"/>
        <w:jc w:val="center"/>
      </w:pPr>
      <w:r>
        <w:rPr>
          <w:rFonts w:ascii="Arial" w:cs="Arial" w:eastAsia="Arial" w:hAnsi="Arial"/>
          <w:color w:val="8C8A94"/>
          <w:sz w:val="24"/>
          <w:szCs w:val="24"/>
        </w:rPr>
        <w:t xml:space="preserve">gemäß Art. 28 DSGVO</w:t>
      </w:r>
    </w:p>
    <w:p>
      <w:pPr>
        <w:spacing w:after="600"/>
        <w:jc w:val="center"/>
      </w:pPr>
      <w:r>
        <w:rPr>
          <w:rFonts w:ascii="Arial" w:cs="Arial" w:eastAsia="Arial" w:hAnsi="Arial"/>
          <w:color w:val="8C8A94"/>
          <w:sz w:val="20"/>
          <w:szCs w:val="20"/>
        </w:rPr>
        <w:t xml:space="preserve">(Datenschutz-Grundverordnung / EU 2016/679)</w:t>
      </w:r>
    </w:p>
    <w:p>
      <w:pPr>
        <w:pBdr>
          <w:bottom w:val="single" w:color="1A1F3D" w:sz="6" w:space="1"/>
        </w:pBdr>
        <w:spacing w:after="600"/>
      </w:pPr>
    </w:p>
    <w:p>
      <w:pPr>
        <w:spacing w:after="200"/>
        <w:jc w:val="center"/>
      </w:pPr>
      <w:r>
        <w:rPr>
          <w:rFonts w:ascii="Arial" w:cs="Arial" w:eastAsia="Arial" w:hAnsi="Arial"/>
          <w:color w:val="8C8A94"/>
          <w:sz w:val="22"/>
          <w:szCs w:val="22"/>
        </w:rPr>
        <w:t xml:space="preserve">zwischen</w:t>
      </w:r>
    </w:p>
    <w:p>
      <w:pPr>
        <w:spacing w:after="80"/>
        <w:jc w:val="center"/>
      </w:pPr>
      <w:r>
        <w:rPr>
          <w:rFonts w:ascii="Arial" w:cs="Arial" w:eastAsia="Arial" w:hAnsi="Arial"/>
          <w:color w:val="8C8A94"/>
          <w:sz w:val="20"/>
          <w:szCs w:val="20"/>
        </w:rPr>
        <w:t xml:space="preserve">dem Auftraggeber (Verantwortlicher)</w:t>
      </w:r>
    </w:p>
    <w:p>
      <w:pPr>
        <w:spacing w:after="400"/>
        <w:jc w:val="center"/>
      </w:pPr>
      <w:r>
        <w:rPr>
          <w:rFonts w:ascii="Arial" w:cs="Arial" w:eastAsia="Arial" w:hAnsi="Arial"/>
          <w:color w:val="8C8A94"/>
          <w:sz w:val="20"/>
          <w:szCs w:val="20"/>
        </w:rPr>
        <w:t xml:space="preserve">– nachfolgend „Auftraggeber“ –</w:t>
      </w:r>
    </w:p>
    <w:p>
      <w:pPr>
        <w:spacing w:after="200"/>
        <w:jc w:val="center"/>
      </w:pPr>
      <w:r>
        <w:rPr>
          <w:rFonts w:ascii="Arial" w:cs="Arial" w:eastAsia="Arial" w:hAnsi="Arial"/>
          <w:color w:val="8C8A94"/>
          <w:sz w:val="22"/>
          <w:szCs w:val="22"/>
        </w:rPr>
        <w:t xml:space="preserve">und</w:t>
      </w:r>
    </w:p>
    <w:p>
      <w:pPr>
        <w:spacing w:after="80"/>
        <w:jc w:val="center"/>
      </w:pPr>
      <w:r>
        <w:rPr>
          <w:rFonts w:ascii="Arial" w:cs="Arial" w:eastAsia="Arial" w:hAnsi="Arial"/>
          <w:b/>
          <w:bCs/>
          <w:color w:val="1A1F3D"/>
          <w:sz w:val="26"/>
          <w:szCs w:val="26"/>
        </w:rPr>
        <w:t xml:space="preserve">Fintery Ltd.</w:t>
      </w:r>
    </w:p>
    <w:p>
      <w:pPr>
        <w:spacing w:after="80"/>
        <w:jc w:val="center"/>
      </w:pPr>
      <w:r>
        <w:rPr>
          <w:rFonts w:ascii="Arial" w:cs="Arial" w:eastAsia="Arial" w:hAnsi="Arial"/>
          <w:color w:val="8C8A94"/>
          <w:sz w:val="20"/>
          <w:szCs w:val="20"/>
        </w:rPr>
        <w:t xml:space="preserve">handelnd für das Produkt TAKO CRM</w:t>
      </w:r>
    </w:p>
    <w:p>
      <w:pPr>
        <w:spacing w:after="400"/>
        <w:jc w:val="center"/>
      </w:pPr>
      <w:r>
        <w:rPr>
          <w:rFonts w:ascii="Arial" w:cs="Arial" w:eastAsia="Arial" w:hAnsi="Arial"/>
          <w:color w:val="8C8A94"/>
          <w:sz w:val="20"/>
          <w:szCs w:val="20"/>
        </w:rPr>
        <w:t xml:space="preserve">– nachfolgend „Auftragnehmer“ bzw. „Auftragsverarbeiter“ –</w:t>
      </w:r>
    </w:p>
    <w:p>
      <w:pPr>
        <w:spacing w:after="200"/>
        <w:jc w:val="center"/>
      </w:pPr>
      <w:r>
        <w:rPr>
          <w:rFonts w:ascii="Arial" w:cs="Arial" w:eastAsia="Arial" w:hAnsi="Arial"/>
          <w:i/>
          <w:iCs/>
          <w:color w:val="8C8A94"/>
          <w:sz w:val="20"/>
          <w:szCs w:val="20"/>
        </w:rPr>
        <w:t xml:space="preserve">gemeinsam „Parteien“</w:t>
      </w:r>
    </w:p>
    <w:p>
      <w:pPr>
        <w:spacing w:before="600"/>
        <w:jc w:val="center"/>
      </w:pPr>
      <w:r>
        <w:rPr>
          <w:rFonts w:ascii="Arial" w:cs="Arial" w:eastAsia="Arial" w:hAnsi="Arial"/>
          <w:color w:val="8C8A94"/>
          <w:sz w:val="20"/>
          <w:szCs w:val="20"/>
        </w:rPr>
        <w:t xml:space="preserve">Stand: 23.04.2026</w:t>
      </w:r>
    </w:p>
    <w:p>
      <w:pPr>
        <w:sectPr>
          <w:pgSz w:w="11906" w:h="16838" w:orient="portrait"/>
          <w:pgMar w:top="2880" w:right="1440" w:bottom="1440" w:left="1440" w:header="708" w:footer="708" w:gutter="0"/>
          <w:pgNumType/>
          <w:docGrid w:linePitch="360"/>
        </w:sectPr>
      </w:pPr>
    </w:p>
    <w:p>
      <w:pPr>
        <w:pStyle w:val="Heading1"/>
      </w:pPr>
      <w:r>
        <w:rPr>
          <w:rFonts w:ascii="Arial" w:cs="Arial" w:eastAsia="Arial" w:hAnsi="Arial"/>
          <w:color w:val="1A1F3D"/>
        </w:rPr>
        <w:t xml:space="preserve">Präambel</w:t>
      </w:r>
    </w:p>
    <w:p>
      <w:pPr>
        <w:spacing w:after="120" w:line="276"/>
      </w:pPr>
      <w:r>
        <w:rPr>
          <w:rFonts w:ascii="Arial" w:cs="Arial" w:eastAsia="Arial" w:hAnsi="Arial"/>
          <w:color w:val="2C2C34"/>
          <w:sz w:val="20"/>
          <w:szCs w:val="20"/>
        </w:rPr>
        <w:t xml:space="preserve">Dieser Auftragsverarbeitungsvertrag (nachfolgend „AVV“) konkretisiert die datenschutzrechtlichen Pflichten der Parteien gemäß Art. 28 der Verordnung (EU) 2016/679 (Datenschutz-Grundverordnung, nachfolgend „DSGVO“) im Zusammenhang mit der Nutzung des Produkts TAKO CRM, betrieben durch die Fintery Ltd..</w:t>
      </w:r>
    </w:p>
    <w:p>
      <w:pPr>
        <w:spacing w:after="120" w:line="276"/>
      </w:pPr>
      <w:r>
        <w:rPr>
          <w:rFonts w:ascii="Arial" w:cs="Arial" w:eastAsia="Arial" w:hAnsi="Arial"/>
          <w:color w:val="2C2C34"/>
          <w:sz w:val="20"/>
          <w:szCs w:val="20"/>
        </w:rPr>
        <w:t xml:space="preserve">Der AVV ergänzt den zwischen den Parteien bestehenden Hauptvertrag über die Nutzung von TAKO CRM (nachfolgend „Hauptvertrag“). Im Falle von Widersprüchen zwischen diesem AVV und dem Hauptvertrag gehen die Regelungen dieses AVV vor, soweit sie den Schutz personenbezogener Daten betreffen.</w:t>
      </w:r>
    </w:p>
    <w:p>
      <w:pPr>
        <w:pStyle w:val="Heading1"/>
      </w:pPr>
      <w:r>
        <w:rPr>
          <w:rFonts w:ascii="Arial" w:cs="Arial" w:eastAsia="Arial" w:hAnsi="Arial"/>
          <w:color w:val="1A1F3D"/>
        </w:rPr>
        <w:t xml:space="preserve">§ 1 Gegenstand und Dauer der Verarbeitung</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Der Auftragnehmer verarbeitet personenbezogene Daten im Auftrag des Auftraggebers im Rahmen der Bereitstellung der CRM-Software TAKO CRM. Art und Zweck der Verarbeitung ergeben sich aus dem Hauptvertrag und aus Anlage 1 dieses AVV.</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Die Dauer der Verarbeitung entspricht der Laufzeit des Hauptvertrags. Nach Beendigung des Hauptvertrags gelten die Regelungen in § 10 dieses AVV.</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Die Kategorien betroffener Personen und die Art der personenbezogenen Daten sind in Anlage 1 spezifiziert.</w:t>
      </w:r>
    </w:p>
    <w:p>
      <w:pPr>
        <w:pStyle w:val="Heading1"/>
      </w:pPr>
      <w:r>
        <w:rPr>
          <w:rFonts w:ascii="Arial" w:cs="Arial" w:eastAsia="Arial" w:hAnsi="Arial"/>
          <w:color w:val="1A1F3D"/>
        </w:rPr>
        <w:t xml:space="preserve">§ 2 Weisungsrecht des Auftraggebers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Der Auftragnehmer verarbeitet personenbezogene Daten ausschließlich auf dokumentierte Weisung des Auftraggebers (Art. 28 Abs. 3 lit. a DSGVO), es sei denn, er ist durch das Recht der Union oder der Mitgliedstaaten, dem der Auftragnehmer unterliegt, zur Verarbeitung verpflichtet. In einem solchen Fall teilt der Auftragnehmer dem Auftraggeber diese rechtlichen Anforderungen vor der Verarbeitung mit, sofern das betreffende Recht dies nicht wegen eines wichtigen öffentlichen Interesses verbietet.</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Weisungen werden grundsätzlich in Textform (E-Mail genügt) erteilt. Mündliche Weisungen sind unverzüglich in Textform zu bestätigen.</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Ist der Auftragnehmer der Ansicht, dass eine Weisung des Auftraggebers gegen datenschutzrechtliche Vorschriften verstößt, hat er den Auftraggeber unverzüglich darauf hinzuweisen. Der Auftragnehmer ist berechtigt, die Durchführung der betreffenden Weisung bis zur Bestätigung oder Änderung durch den Auftraggeber auszusetzen.</w:t>
      </w:r>
    </w:p>
    <w:p>
      <w:pPr>
        <w:pStyle w:val="Heading1"/>
      </w:pPr>
      <w:r>
        <w:rPr>
          <w:rFonts w:ascii="Arial" w:cs="Arial" w:eastAsia="Arial" w:hAnsi="Arial"/>
          <w:color w:val="1A1F3D"/>
        </w:rPr>
        <w:t xml:space="preserve">§ 3 Pflichten des Auftragnehmers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Der Auftragnehmer gewährleistet, dass die zur Verarbeitung der personenbezogenen Daten befugten Personen sich zur Vertraulichkeit verpflichtet haben oder einer angemessenen gesetzlichen Verschwiegenheitspflicht unterliegen (Art. 28 Abs. 3 lit. b DSGVO).</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Der Auftragnehmer ergreift alle gemäß Art. 32 DSGVO erforderlichen technischen und organisatorischen Maßnahmen (nachfolgend „TOM“). Die zum Zeitpunkt des Vertragsschlusses geltenden Maßnahmen sind in Anlage 2 dokumentiert.</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Der Auftragnehmer unterstützt den Auftraggeber unter Berücksichtigung der Art der Verarbeitung nach Möglichkeit durch geeignete technische und organisatorische Maßnahmen bei der Erfüllung seiner Pflicht zur Beantwortung von Anträgen auf Wahrnehmung der Rechte betroffener Personen gemäß Kapitel III DSGVO (Art. 28 Abs. 3 lit. e DSGVO).</w:t>
      </w:r>
    </w:p>
    <w:p>
      <w:pPr>
        <w:spacing w:after="120" w:line="276"/>
      </w:pPr>
      <w:r>
        <w:rPr>
          <w:rFonts w:ascii="Arial" w:cs="Arial" w:eastAsia="Arial" w:hAnsi="Arial"/>
          <w:b/>
          <w:bCs/>
          <w:color w:val="2C2C34"/>
          <w:sz w:val="20"/>
          <w:szCs w:val="20"/>
        </w:rPr>
        <w:t xml:space="preserve">(4) </w:t>
      </w:r>
      <w:r>
        <w:rPr>
          <w:rFonts w:ascii="Arial" w:cs="Arial" w:eastAsia="Arial" w:hAnsi="Arial"/>
          <w:color w:val="2C2C34"/>
          <w:sz w:val="20"/>
          <w:szCs w:val="20"/>
        </w:rPr>
        <w:t xml:space="preserve">Der Auftragnehmer unterstützt den Auftraggeber unter Berücksichtigung der Art der Verarbeitung und der ihm zur Verfügung stehenden Informationen bei der Einhaltung der in Art. 32 bis 36 DSGVO genannten Pflichten (Art. 28 Abs. 3 lit. f DSGVO).</w:t>
      </w:r>
    </w:p>
    <w:p>
      <w:pPr>
        <w:pStyle w:val="Heading1"/>
      </w:pPr>
      <w:r>
        <w:rPr>
          <w:rFonts w:ascii="Arial" w:cs="Arial" w:eastAsia="Arial" w:hAnsi="Arial"/>
          <w:color w:val="1A1F3D"/>
        </w:rPr>
        <w:t xml:space="preserve">§ 4 Meldepflichten bei Datenschutzverletzungen</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Der Auftragnehmer unterrichtet den Auftraggeber unverzüglich, spätestens jedoch innerhalb von 24 Stunden nach Bekanntwerden, über jede Verletzung des Schutzes personenbezogener Daten (Art. 33 Abs. 2 DSGVO).</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Die Meldung enthält mindestens folgende Informationen:</w:t>
      </w:r>
    </w:p>
    <w:p>
      <w:pPr>
        <w:pStyle w:val="ListParagraph"/>
        <w:numPr>
          <w:ilvl w:val="0"/>
          <w:numId w:val="2"/>
        </w:numPr>
        <w:spacing w:after="60"/>
      </w:pPr>
      <w:r>
        <w:rPr>
          <w:rFonts w:ascii="Arial" w:cs="Arial" w:eastAsia="Arial" w:hAnsi="Arial"/>
          <w:color w:val="2C2C34"/>
          <w:sz w:val="20"/>
          <w:szCs w:val="20"/>
        </w:rPr>
        <w:t xml:space="preserve">Beschreibung der Art der Verletzung, soweit möglich mit Angabe der Kategorien und der ungefähren Zahl der betroffenen Personen und Datensätze</w:t>
      </w:r>
    </w:p>
    <w:p>
      <w:pPr>
        <w:pStyle w:val="ListParagraph"/>
        <w:numPr>
          <w:ilvl w:val="0"/>
          <w:numId w:val="2"/>
        </w:numPr>
        <w:spacing w:after="60"/>
      </w:pPr>
      <w:r>
        <w:rPr>
          <w:rFonts w:ascii="Arial" w:cs="Arial" w:eastAsia="Arial" w:hAnsi="Arial"/>
          <w:color w:val="2C2C34"/>
          <w:sz w:val="20"/>
          <w:szCs w:val="20"/>
        </w:rPr>
        <w:t xml:space="preserve">Name und Kontaktdaten des Datenschutzbeauftragten oder einer sonstigen Anlaufstelle</w:t>
      </w:r>
    </w:p>
    <w:p>
      <w:pPr>
        <w:pStyle w:val="ListParagraph"/>
        <w:numPr>
          <w:ilvl w:val="0"/>
          <w:numId w:val="2"/>
        </w:numPr>
        <w:spacing w:after="60"/>
      </w:pPr>
      <w:r>
        <w:rPr>
          <w:rFonts w:ascii="Arial" w:cs="Arial" w:eastAsia="Arial" w:hAnsi="Arial"/>
          <w:color w:val="2C2C34"/>
          <w:sz w:val="20"/>
          <w:szCs w:val="20"/>
        </w:rPr>
        <w:t xml:space="preserve">Beschreibung der wahrscheinlichen Folgen der Verletzung</w:t>
      </w:r>
    </w:p>
    <w:p>
      <w:pPr>
        <w:pStyle w:val="ListParagraph"/>
        <w:numPr>
          <w:ilvl w:val="0"/>
          <w:numId w:val="2"/>
        </w:numPr>
        <w:spacing w:after="120"/>
      </w:pPr>
      <w:r>
        <w:rPr>
          <w:rFonts w:ascii="Arial" w:cs="Arial" w:eastAsia="Arial" w:hAnsi="Arial"/>
          <w:color w:val="2C2C34"/>
          <w:sz w:val="20"/>
          <w:szCs w:val="20"/>
        </w:rPr>
        <w:t xml:space="preserve">Beschreibung der ergriffenen oder vorgeschlagenen Maßnahmen zur Behebung und Abmilderung</w:t>
      </w:r>
    </w:p>
    <w:p>
      <w:pPr>
        <w:pStyle w:val="Heading1"/>
      </w:pPr>
      <w:r>
        <w:rPr>
          <w:rFonts w:ascii="Arial" w:cs="Arial" w:eastAsia="Arial" w:hAnsi="Arial"/>
          <w:color w:val="1A1F3D"/>
        </w:rPr>
        <w:t xml:space="preserve">§ 5 Unterauftragsverarbeiter</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Der Auftragnehmer darf Unterauftragsverarbeiter nur mit vorheriger allgemeiner schriftlicher Genehmigung des Auftraggebers einsetzen (Art. 28 Abs. 2 DSGVO). Die zum Zeitpunkt des Vertragsschlusses genehmigten Unterauftragsverarbeiter sind in Anlage 3 aufgeführt.</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Der Auftragnehmer informiert den Auftraggeber über jede beabsichtigte Änderung in Bezug auf die Hinzuziehung oder Ersetzung von Unterauftragsverarbeitern mindestens 30 Tage im Voraus in Textform. Der Auftraggeber kann der Änderung innerhalb von 14 Tagen nach Zugang der Information widersprechen.</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Erhebt der Auftraggeber Einspruch, ist der Auftragnehmer berechtigt, den Hauptvertrag mit einer Frist von 3 Monaten zum Monatsende außerordentlich zu kündigen, sofern keine zumutbare Alternative besteht.</w:t>
      </w:r>
    </w:p>
    <w:p>
      <w:pPr>
        <w:spacing w:after="120" w:line="276"/>
      </w:pPr>
      <w:r>
        <w:rPr>
          <w:rFonts w:ascii="Arial" w:cs="Arial" w:eastAsia="Arial" w:hAnsi="Arial"/>
          <w:b/>
          <w:bCs/>
          <w:color w:val="2C2C34"/>
          <w:sz w:val="20"/>
          <w:szCs w:val="20"/>
        </w:rPr>
        <w:t xml:space="preserve">(4) </w:t>
      </w:r>
      <w:r>
        <w:rPr>
          <w:rFonts w:ascii="Arial" w:cs="Arial" w:eastAsia="Arial" w:hAnsi="Arial"/>
          <w:color w:val="2C2C34"/>
          <w:sz w:val="20"/>
          <w:szCs w:val="20"/>
        </w:rPr>
        <w:t xml:space="preserve">Der Auftragnehmer stellt vertraglich sicher, dass die Pflichten aus diesem AVV auch dem Unterauftragsverarbeiter auferlegt werden (Art. 28 Abs. 4 DSGVO). Der Auftragnehmer haftet gegenüber dem Auftraggeber für die Einhaltung der Datenschutzpflichten durch den Unterauftragsverarbeiter.</w:t>
      </w:r>
    </w:p>
    <w:p>
      <w:pPr>
        <w:pStyle w:val="Heading1"/>
      </w:pPr>
      <w:r>
        <w:rPr>
          <w:rFonts w:ascii="Arial" w:cs="Arial" w:eastAsia="Arial" w:hAnsi="Arial"/>
          <w:color w:val="1A1F3D"/>
        </w:rPr>
        <w:t xml:space="preserve">§ 6 Datenübermittlung in Drittländer</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Eine Übermittlung personenbezogener Daten in ein Drittland oder an eine internationale Organisation darf nur auf dokumentierte Weisung des Auftraggebers erfolgen, es sei denn, der Auftragnehmer ist durch Unionsrecht oder das Recht eines Mitgliedstaats zur Übermittlung verpflichtet.</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Soweit eine Übermittlung in ein Drittland erforderlich ist, stellt der Auftragnehmer sicher, dass ein angemessenes Schutzniveau gemäß Art. 44 ff. DSGVO gewährleistet ist, insbesondere durch:</w:t>
      </w:r>
    </w:p>
    <w:p>
      <w:pPr>
        <w:pStyle w:val="ListParagraph"/>
        <w:numPr>
          <w:ilvl w:val="0"/>
          <w:numId w:val="2"/>
        </w:numPr>
        <w:spacing w:after="60"/>
      </w:pPr>
      <w:r>
        <w:rPr>
          <w:rFonts w:ascii="Arial" w:cs="Arial" w:eastAsia="Arial" w:hAnsi="Arial"/>
          <w:color w:val="2C2C34"/>
          <w:sz w:val="20"/>
          <w:szCs w:val="20"/>
        </w:rPr>
        <w:t xml:space="preserve">Angemessenheitsbeschluss der EU-Kommission (Art. 45 DSGVO)</w:t>
      </w:r>
    </w:p>
    <w:p>
      <w:pPr>
        <w:pStyle w:val="ListParagraph"/>
        <w:numPr>
          <w:ilvl w:val="0"/>
          <w:numId w:val="2"/>
        </w:numPr>
        <w:spacing w:after="60"/>
      </w:pPr>
      <w:r>
        <w:rPr>
          <w:rFonts w:ascii="Arial" w:cs="Arial" w:eastAsia="Arial" w:hAnsi="Arial"/>
          <w:color w:val="2C2C34"/>
          <w:sz w:val="20"/>
          <w:szCs w:val="20"/>
        </w:rPr>
        <w:t xml:space="preserve">Standardvertragsklauseln (Art. 46 Abs. 2 lit. c DSGVO)</w:t>
      </w:r>
    </w:p>
    <w:p>
      <w:pPr>
        <w:pStyle w:val="ListParagraph"/>
        <w:numPr>
          <w:ilvl w:val="0"/>
          <w:numId w:val="2"/>
        </w:numPr>
        <w:spacing w:after="120"/>
      </w:pPr>
      <w:r>
        <w:rPr>
          <w:rFonts w:ascii="Arial" w:cs="Arial" w:eastAsia="Arial" w:hAnsi="Arial"/>
          <w:color w:val="2C2C34"/>
          <w:sz w:val="20"/>
          <w:szCs w:val="20"/>
        </w:rPr>
        <w:t xml:space="preserve">Verbindliche interne Datenschutzvorschriften (Art. 47 DSGVO)</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Der Auftragnehmer führt bei Drittlandtransfers ein Transfer Impact Assessment (TIA) durch und dokumentiert die ergänzenden Schutzmaßnahmen gemäß den Empfehlungen des EDSA (01/2020).</w:t>
      </w:r>
    </w:p>
    <w:p>
      <w:pPr>
        <w:pStyle w:val="Heading1"/>
      </w:pPr>
      <w:r>
        <w:rPr>
          <w:rFonts w:ascii="Arial" w:cs="Arial" w:eastAsia="Arial" w:hAnsi="Arial"/>
          <w:color w:val="1A1F3D"/>
        </w:rPr>
        <w:t xml:space="preserve">§ 7 Kontrollrechte des Auftraggebers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Der Auftraggeber hat das Recht, die Einhaltung dieses AVV und der datenschutzrechtlichen Vorschriften beim Auftragnehmer zu überprüfen (Art. 28 Abs. 3 lit. h DSGVO). Dies kann umfassen:</w:t>
      </w:r>
    </w:p>
    <w:p>
      <w:pPr>
        <w:pStyle w:val="ListParagraph"/>
        <w:numPr>
          <w:ilvl w:val="0"/>
          <w:numId w:val="2"/>
        </w:numPr>
        <w:spacing w:after="60"/>
      </w:pPr>
      <w:r>
        <w:rPr>
          <w:rFonts w:ascii="Arial" w:cs="Arial" w:eastAsia="Arial" w:hAnsi="Arial"/>
          <w:color w:val="2C2C34"/>
          <w:sz w:val="20"/>
          <w:szCs w:val="20"/>
        </w:rPr>
        <w:t xml:space="preserve">Einholung von Auskünften und Nachweisen</w:t>
      </w:r>
    </w:p>
    <w:p>
      <w:pPr>
        <w:pStyle w:val="ListParagraph"/>
        <w:numPr>
          <w:ilvl w:val="0"/>
          <w:numId w:val="2"/>
        </w:numPr>
        <w:spacing w:after="60"/>
      </w:pPr>
      <w:r>
        <w:rPr>
          <w:rFonts w:ascii="Arial" w:cs="Arial" w:eastAsia="Arial" w:hAnsi="Arial"/>
          <w:color w:val="2C2C34"/>
          <w:sz w:val="20"/>
          <w:szCs w:val="20"/>
        </w:rPr>
        <w:t xml:space="preserve">Inspektionen vor Ort nach Vorankündigung von mindestens 14 Tagen</w:t>
      </w:r>
    </w:p>
    <w:p>
      <w:pPr>
        <w:pStyle w:val="ListParagraph"/>
        <w:numPr>
          <w:ilvl w:val="0"/>
          <w:numId w:val="2"/>
        </w:numPr>
        <w:spacing w:after="120"/>
      </w:pPr>
      <w:r>
        <w:rPr>
          <w:rFonts w:ascii="Arial" w:cs="Arial" w:eastAsia="Arial" w:hAnsi="Arial"/>
          <w:color w:val="2C2C34"/>
          <w:sz w:val="20"/>
          <w:szCs w:val="20"/>
        </w:rPr>
        <w:t xml:space="preserve">Prüfung durch vom Auftraggeber beauftragte Dritte (Auditoren), die einer Vertraulichkeitsverpflichtung unterliegen</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Der Auftragnehmer stellt dem Auftraggeber alle erforderlichen Informationen zum Nachweis der Einhaltung der in Art. 28 DSGVO niedergelegten Pflichten zur Verfügung und ermöglicht und trägt zu Überprüfungen einschließlich Inspektionen bei.</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Alternativ kann der Auftragnehmer dem Auftraggeber ein aktuelles Zertifikat, einen Prüfbericht oder Auszug aus einem solchen eines unabhängigen Dritten (z. B. SOC 2 Type II, ISO 27001) vorlegen.</w:t>
      </w:r>
    </w:p>
    <w:p>
      <w:pPr>
        <w:pStyle w:val="Heading1"/>
      </w:pPr>
      <w:r>
        <w:rPr>
          <w:rFonts w:ascii="Arial" w:cs="Arial" w:eastAsia="Arial" w:hAnsi="Arial"/>
          <w:color w:val="1A1F3D"/>
        </w:rPr>
        <w:t xml:space="preserve">§ 8 Vertraulichkeit</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Der Auftragnehmer gewährleistet, dass alle Personen, die Zugang zu personenbezogenen Daten haben, sich zur Vertraulichkeit verpflichtet haben und angemessen in den Datenschutz eingewiesen sind.</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Die Vertraulichkeitspflicht besteht auch nach Beendigung dieses AVV fort.</w:t>
      </w:r>
    </w:p>
    <w:p>
      <w:pPr>
        <w:pStyle w:val="Heading1"/>
      </w:pPr>
      <w:r>
        <w:rPr>
          <w:rFonts w:ascii="Arial" w:cs="Arial" w:eastAsia="Arial" w:hAnsi="Arial"/>
          <w:color w:val="1A1F3D"/>
        </w:rPr>
        <w:t xml:space="preserve">§ 9 Datenschutzbeauftragter</w:t>
      </w:r>
    </w:p>
    <w:p>
      <w:pPr>
        <w:spacing w:after="120" w:line="276"/>
      </w:pPr>
      <w:r>
        <w:rPr>
          <w:rFonts w:ascii="Arial" w:cs="Arial" w:eastAsia="Arial" w:hAnsi="Arial"/>
          <w:color w:val="2C2C34"/>
          <w:sz w:val="20"/>
          <w:szCs w:val="20"/>
        </w:rPr>
        <w:t xml:space="preserve">Der Datenschutzbeauftragte des Auftragnehmers ist erreichbar 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4E2DC" w:sz="1"/>
              <w:left w:val="single" w:color="E4E2DC" w:sz="1"/>
              <w:bottom w:val="single" w:color="E4E2DC" w:sz="1"/>
              <w:right w:val="single" w:color="E4E2DC" w:sz="1"/>
            </w:tcBorders>
            <w:shd w:fill="F5F3EE" w:val="clear"/>
            <w:tcMar>
              <w:top w:type="dxa" w:w="80"/>
              <w:left w:type="dxa" w:w="120"/>
              <w:bottom w:type="dxa" w:w="80"/>
              <w:right w:type="dxa" w:w="120"/>
            </w:tcMar>
          </w:tcPr>
          <w:p>
            <w:r>
              <w:rPr>
                <w:rFonts w:ascii="Arial" w:cs="Arial" w:eastAsia="Arial" w:hAnsi="Arial"/>
                <w:b/>
                <w:bCs/>
                <w:color w:val="2C2C34"/>
                <w:sz w:val="18"/>
                <w:szCs w:val="18"/>
              </w:rPr>
              <w:t xml:space="preserve">Unternehmen</w:t>
            </w:r>
          </w:p>
        </w:tc>
        <w:tc>
          <w:tcPr>
            <w:tcW w:type="dxa" w:w="65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Fintery Ltd.</w:t>
            </w:r>
          </w:p>
        </w:tc>
      </w:tr>
      <w:tr>
        <w:tc>
          <w:tcPr>
            <w:tcW w:type="dxa" w:w="2500"/>
            <w:tcBorders>
              <w:top w:val="single" w:color="E4E2DC" w:sz="1"/>
              <w:left w:val="single" w:color="E4E2DC" w:sz="1"/>
              <w:bottom w:val="single" w:color="E4E2DC" w:sz="1"/>
              <w:right w:val="single" w:color="E4E2DC" w:sz="1"/>
            </w:tcBorders>
            <w:shd w:fill="F5F3EE" w:val="clear"/>
            <w:tcMar>
              <w:top w:type="dxa" w:w="80"/>
              <w:left w:type="dxa" w:w="120"/>
              <w:bottom w:type="dxa" w:w="80"/>
              <w:right w:type="dxa" w:w="120"/>
            </w:tcMar>
          </w:tcPr>
          <w:p>
            <w:r>
              <w:rPr>
                <w:rFonts w:ascii="Arial" w:cs="Arial" w:eastAsia="Arial" w:hAnsi="Arial"/>
                <w:b/>
                <w:bCs/>
                <w:color w:val="2C2C34"/>
                <w:sz w:val="18"/>
                <w:szCs w:val="18"/>
              </w:rPr>
              <w:t xml:space="preserve">E-Mail</w:t>
            </w:r>
          </w:p>
        </w:tc>
        <w:tc>
          <w:tcPr>
            <w:tcW w:type="dxa" w:w="65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datenschutz@tako.software</w:t>
            </w:r>
          </w:p>
        </w:tc>
      </w:tr>
    </w:tbl>
    <w:p>
      <w:pPr>
        <w:spacing w:after="120" w:line="276"/>
      </w:pPr>
      <w:r>
        <w:rPr>
          <w:rFonts w:ascii="Arial" w:cs="Arial" w:eastAsia="Arial" w:hAnsi="Arial"/>
          <w:color w:val="2C2C34"/>
          <w:sz w:val="20"/>
          <w:szCs w:val="20"/>
        </w:rPr>
        <w:t xml:space="preserve"/>
      </w:r>
    </w:p>
    <w:p>
      <w:pPr>
        <w:pStyle w:val="Heading1"/>
      </w:pPr>
      <w:r>
        <w:rPr>
          <w:rFonts w:ascii="Arial" w:cs="Arial" w:eastAsia="Arial" w:hAnsi="Arial"/>
          <w:color w:val="1A1F3D"/>
        </w:rPr>
        <w:t xml:space="preserve">§ 10 Löschung und Rückgabe von Daten</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Nach Beendigung des Hauptvertrags löscht der Auftragnehmer sämtliche im Auftrag verarbeiteten personenbezogenen Daten, sofern nicht eine gesetzliche Aufbewahrungspflicht besteht (Art. 28 Abs. 3 lit. g DSGVO).</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Der Auftraggeber kann vor der Löschung die Rückgabe der Daten in einem gängigen, maschinenlesbaren Format verlangen. Die Rückgabe erfolgt innerhalb von 30 Tagen nach Anforderung.</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Die Löschung erfolgt spätestens 90 Tage nach Beendigung des Hauptvertrags. Der Auftragnehmer bestätigt die vollständige Löschung in Textform.</w:t>
      </w:r>
    </w:p>
    <w:p>
      <w:pPr>
        <w:pStyle w:val="Heading1"/>
      </w:pPr>
      <w:r>
        <w:rPr>
          <w:rFonts w:ascii="Arial" w:cs="Arial" w:eastAsia="Arial" w:hAnsi="Arial"/>
          <w:color w:val="1A1F3D"/>
        </w:rPr>
        <w:t xml:space="preserve">§ 11 Haftung</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Die Haftung der Parteien richtet sich nach Art. 82 DSGVO und den gesetzlichen Bestimmungen.</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Der Auftragnehmer haftet gegenüber dem Auftraggeber für Schäden, die durch eine nicht den Vorschriften der DSGVO entsprechende Verarbeitung oder durch Handeln entgegen den rechtmäßigen Weisungen des Auftraggebers verursacht werden.</w:t>
      </w:r>
    </w:p>
    <w:p>
      <w:pPr>
        <w:pStyle w:val="Heading1"/>
      </w:pPr>
      <w:r>
        <w:rPr>
          <w:rFonts w:ascii="Arial" w:cs="Arial" w:eastAsia="Arial" w:hAnsi="Arial"/>
          <w:color w:val="1A1F3D"/>
        </w:rPr>
        <w:t xml:space="preserve">§ 12 Schlussbestimmungen</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Änderungen und Ergänzungen dieses AVV bedürfen der Textform. Dies gilt auch für den Verzicht auf dieses Formerfordernis.</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Sollten einzelne Bestimmungen dieses AVV unwirksam sein oder werden, bleibt die Wirksamkeit der übrigen Bestimmungen unberührt. Die Parteien verpflichten sich, die unwirksame Bestimmung durch eine wirksame Regelung zu ersetzen, die dem wirtschaftlichen Zweck der unwirksamen Bestimmung möglichst nahekommt.</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Es gilt das Recht der Bundesrepublik Deutschland. Gerichtsstand ist der Sitz des Auftragnehmers, soweit gesetzlich zulässig.</w:t>
      </w:r>
    </w:p>
    <w:p>
      <w:r>
        <w:br w:type="page"/>
      </w:r>
    </w:p>
    <w:p>
      <w:pPr>
        <w:pStyle w:val="Heading1"/>
      </w:pPr>
      <w:r>
        <w:rPr>
          <w:rFonts w:ascii="Arial" w:cs="Arial" w:eastAsia="Arial" w:hAnsi="Arial"/>
          <w:color w:val="1A1F3D"/>
        </w:rPr>
        <w:t xml:space="preserve">Unterschriften</w:t>
      </w:r>
    </w:p>
    <w:p>
      <w:pPr>
        <w:spacing w:after="120" w:line="276"/>
      </w:pPr>
      <w:r>
        <w:rPr>
          <w:rFonts w:ascii="Arial" w:cs="Arial" w:eastAsia="Arial" w:hAnsi="Arial"/>
          <w:color w:val="2C2C3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pPr>
              <w:spacing w:after="40"/>
            </w:pPr>
            <w:r>
              <w:rPr>
                <w:rFonts w:ascii="Arial" w:cs="Arial" w:eastAsia="Arial" w:hAnsi="Arial"/>
                <w:b/>
                <w:bCs/>
                <w:color w:val="1A1F3D"/>
                <w:sz w:val="20"/>
                <w:szCs w:val="20"/>
              </w:rPr>
              <w:t xml:space="preserve">Auftraggeber:</w:t>
            </w:r>
          </w:p>
        </w:tc>
        <w:tc>
          <w:tcPr>
            <w:tcW w:type="dxa" w:w="4513"/>
            <w:tcBorders>
              <w:top w:val="none" w:sz="0"/>
              <w:left w:val="none" w:sz="0"/>
              <w:bottom w:val="none" w:sz="0"/>
              <w:right w:val="none" w:sz="0"/>
            </w:tcBorders>
            <w:tcMar>
              <w:top w:type="dxa" w:w="80"/>
              <w:left w:type="dxa" w:w="120"/>
              <w:bottom w:type="dxa" w:w="80"/>
              <w:right w:type="dxa" w:w="120"/>
            </w:tcMar>
          </w:tcPr>
          <w:p>
            <w:pPr>
              <w:spacing w:after="40"/>
            </w:pPr>
            <w:r>
              <w:rPr>
                <w:rFonts w:ascii="Arial" w:cs="Arial" w:eastAsia="Arial" w:hAnsi="Arial"/>
                <w:b/>
                <w:bCs/>
                <w:color w:val="1A1F3D"/>
                <w:sz w:val="20"/>
                <w:szCs w:val="20"/>
              </w:rPr>
              <w:t xml:space="preserve">Auftragnehmer (Fintery Ltd.):</w:t>
            </w:r>
          </w:p>
        </w:tc>
      </w:tr>
      <w:tr>
        <w:tc>
          <w:tcPr>
            <w:tcW w:type="dxa" w:w="4513"/>
            <w:tcBorders>
              <w:top w:val="none" w:sz="0"/>
              <w:left w:val="none" w:sz="0"/>
              <w:bottom w:val="none" w:sz="0"/>
              <w:right w:val="none" w:sz="0"/>
            </w:tcBorders>
            <w:tcMar>
              <w:top w:type="dxa" w:w="80"/>
              <w:left w:type="dxa" w:w="120"/>
              <w:bottom w:type="dxa" w:w="80"/>
              <w:right w:type="dxa" w:w="120"/>
            </w:tcMar>
          </w:tcPr>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pBdr>
                <w:bottom w:val="single" w:color="2C2C34" w:sz="2" w:space="1"/>
              </w:pBdr>
            </w:pPr>
          </w:p>
          <w:p>
            <w:pPr>
              <w:spacing w:after="40"/>
            </w:pPr>
            <w:r>
              <w:rPr>
                <w:rFonts w:ascii="Arial" w:cs="Arial" w:eastAsia="Arial" w:hAnsi="Arial"/>
                <w:color w:val="8C8A94"/>
                <w:sz w:val="16"/>
                <w:szCs w:val="16"/>
              </w:rPr>
              <w:t xml:space="preserve">Ort, Datum, Unterschrift</w:t>
            </w:r>
          </w:p>
        </w:tc>
        <w:tc>
          <w:tcPr>
            <w:tcW w:type="dxa" w:w="4513"/>
            <w:tcBorders>
              <w:top w:val="none" w:sz="0"/>
              <w:left w:val="none" w:sz="0"/>
              <w:bottom w:val="none" w:sz="0"/>
              <w:right w:val="none" w:sz="0"/>
            </w:tcBorders>
            <w:tcMar>
              <w:top w:type="dxa" w:w="80"/>
              <w:left w:type="dxa" w:w="120"/>
              <w:bottom w:type="dxa" w:w="80"/>
              <w:right w:type="dxa" w:w="120"/>
            </w:tcMar>
          </w:tcPr>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pBdr>
                <w:bottom w:val="single" w:color="2C2C34" w:sz="2" w:space="1"/>
              </w:pBdr>
            </w:pPr>
          </w:p>
          <w:p>
            <w:pPr>
              <w:spacing w:after="40"/>
            </w:pPr>
            <w:r>
              <w:rPr>
                <w:rFonts w:ascii="Arial" w:cs="Arial" w:eastAsia="Arial" w:hAnsi="Arial"/>
                <w:color w:val="8C8A94"/>
                <w:sz w:val="16"/>
                <w:szCs w:val="16"/>
              </w:rPr>
              <w:t xml:space="preserve">Ort, Datum, Unterschrift</w:t>
            </w:r>
          </w:p>
        </w:tc>
      </w:tr>
    </w:tbl>
    <w:p>
      <w:r>
        <w:br w:type="page"/>
      </w:r>
    </w:p>
    <w:p>
      <w:pPr>
        <w:pStyle w:val="Heading1"/>
      </w:pPr>
      <w:r>
        <w:rPr>
          <w:rFonts w:ascii="Arial" w:cs="Arial" w:eastAsia="Arial" w:hAnsi="Arial"/>
          <w:color w:val="1A1F3D"/>
        </w:rPr>
        <w:t xml:space="preserve">Anlage 1 – Gegenstand der Verarbeitung</w:t>
      </w:r>
    </w:p>
    <w:p>
      <w:pPr>
        <w:pStyle w:val="Heading2"/>
      </w:pPr>
      <w:r>
        <w:rPr>
          <w:rFonts w:ascii="Arial" w:cs="Arial" w:eastAsia="Arial" w:hAnsi="Arial"/>
          <w:color w:val="1A1F3D"/>
        </w:rPr>
        <w:t xml:space="preserve">1. Art und Zweck der Verarbeitung</w:t>
      </w:r>
    </w:p>
    <w:p>
      <w:pPr>
        <w:spacing w:after="120" w:line="276"/>
      </w:pPr>
      <w:r>
        <w:rPr>
          <w:rFonts w:ascii="Arial" w:cs="Arial" w:eastAsia="Arial" w:hAnsi="Arial"/>
          <w:color w:val="2C2C34"/>
          <w:sz w:val="20"/>
          <w:szCs w:val="20"/>
        </w:rPr>
        <w:t xml:space="preserve">Bereitstellung und Betrieb der CRM-Software TAKO CRM als Software-as-a-Service (SaaS), einschließlich:</w:t>
      </w:r>
    </w:p>
    <w:p>
      <w:pPr>
        <w:pStyle w:val="ListParagraph"/>
        <w:numPr>
          <w:ilvl w:val="0"/>
          <w:numId w:val="2"/>
        </w:numPr>
        <w:spacing w:after="60"/>
      </w:pPr>
      <w:r>
        <w:rPr>
          <w:rFonts w:ascii="Arial" w:cs="Arial" w:eastAsia="Arial" w:hAnsi="Arial"/>
          <w:color w:val="2C2C34"/>
          <w:sz w:val="20"/>
          <w:szCs w:val="20"/>
        </w:rPr>
        <w:t xml:space="preserve">Speicherung und Verwaltung von Kundenkontaktdaten</w:t>
      </w:r>
    </w:p>
    <w:p>
      <w:pPr>
        <w:pStyle w:val="ListParagraph"/>
        <w:numPr>
          <w:ilvl w:val="0"/>
          <w:numId w:val="2"/>
        </w:numPr>
        <w:spacing w:after="60"/>
      </w:pPr>
      <w:r>
        <w:rPr>
          <w:rFonts w:ascii="Arial" w:cs="Arial" w:eastAsia="Arial" w:hAnsi="Arial"/>
          <w:color w:val="2C2C34"/>
          <w:sz w:val="20"/>
          <w:szCs w:val="20"/>
        </w:rPr>
        <w:t xml:space="preserve">Verwaltung von Vertriebspipelines, Deals und Aktivitäten</w:t>
      </w:r>
    </w:p>
    <w:p>
      <w:pPr>
        <w:pStyle w:val="ListParagraph"/>
        <w:numPr>
          <w:ilvl w:val="0"/>
          <w:numId w:val="2"/>
        </w:numPr>
        <w:spacing w:after="60"/>
      </w:pPr>
      <w:r>
        <w:rPr>
          <w:rFonts w:ascii="Arial" w:cs="Arial" w:eastAsia="Arial" w:hAnsi="Arial"/>
          <w:color w:val="2C2C34"/>
          <w:sz w:val="20"/>
          <w:szCs w:val="20"/>
        </w:rPr>
        <w:t xml:space="preserve">KI-gestützte Funktionen (Lead-Scoring, E-Mail-Entwurf, Anruf-Transkription)</w:t>
      </w:r>
    </w:p>
    <w:p>
      <w:pPr>
        <w:pStyle w:val="ListParagraph"/>
        <w:numPr>
          <w:ilvl w:val="0"/>
          <w:numId w:val="2"/>
        </w:numPr>
        <w:spacing w:after="60"/>
      </w:pPr>
      <w:r>
        <w:rPr>
          <w:rFonts w:ascii="Arial" w:cs="Arial" w:eastAsia="Arial" w:hAnsi="Arial"/>
          <w:color w:val="2C2C34"/>
          <w:sz w:val="20"/>
          <w:szCs w:val="20"/>
        </w:rPr>
        <w:t xml:space="preserve">Kommunikation (E-Mail-Integration, Kalender-Synchronisation)</w:t>
      </w:r>
    </w:p>
    <w:p>
      <w:pPr>
        <w:pStyle w:val="ListParagraph"/>
        <w:numPr>
          <w:ilvl w:val="0"/>
          <w:numId w:val="2"/>
        </w:numPr>
        <w:spacing w:after="120"/>
      </w:pPr>
      <w:r>
        <w:rPr>
          <w:rFonts w:ascii="Arial" w:cs="Arial" w:eastAsia="Arial" w:hAnsi="Arial"/>
          <w:color w:val="2C2C34"/>
          <w:sz w:val="20"/>
          <w:szCs w:val="20"/>
        </w:rPr>
        <w:t xml:space="preserve">Analyse und Reporting</w:t>
      </w:r>
    </w:p>
    <w:p>
      <w:pPr>
        <w:pStyle w:val="Heading2"/>
      </w:pPr>
      <w:r>
        <w:rPr>
          <w:rFonts w:ascii="Arial" w:cs="Arial" w:eastAsia="Arial" w:hAnsi="Arial"/>
          <w:color w:val="1A1F3D"/>
        </w:rPr>
        <w:t xml:space="preserve">2. Kategorien betroffener Personen</w:t>
      </w:r>
    </w:p>
    <w:p>
      <w:pPr>
        <w:pStyle w:val="ListParagraph"/>
        <w:numPr>
          <w:ilvl w:val="0"/>
          <w:numId w:val="2"/>
        </w:numPr>
        <w:spacing w:after="60"/>
      </w:pPr>
      <w:r>
        <w:rPr>
          <w:rFonts w:ascii="Arial" w:cs="Arial" w:eastAsia="Arial" w:hAnsi="Arial"/>
          <w:color w:val="2C2C34"/>
          <w:sz w:val="20"/>
          <w:szCs w:val="20"/>
        </w:rPr>
        <w:t xml:space="preserve">Kunden und Interessenten (Leads) des Auftraggebers</w:t>
      </w:r>
    </w:p>
    <w:p>
      <w:pPr>
        <w:pStyle w:val="ListParagraph"/>
        <w:numPr>
          <w:ilvl w:val="0"/>
          <w:numId w:val="2"/>
        </w:numPr>
        <w:spacing w:after="60"/>
      </w:pPr>
      <w:r>
        <w:rPr>
          <w:rFonts w:ascii="Arial" w:cs="Arial" w:eastAsia="Arial" w:hAnsi="Arial"/>
          <w:color w:val="2C2C34"/>
          <w:sz w:val="20"/>
          <w:szCs w:val="20"/>
        </w:rPr>
        <w:t xml:space="preserve">Ansprechpartner bei Geschäftspartnern des Auftraggebers</w:t>
      </w:r>
    </w:p>
    <w:p>
      <w:pPr>
        <w:pStyle w:val="ListParagraph"/>
        <w:numPr>
          <w:ilvl w:val="0"/>
          <w:numId w:val="2"/>
        </w:numPr>
        <w:spacing w:after="120"/>
      </w:pPr>
      <w:r>
        <w:rPr>
          <w:rFonts w:ascii="Arial" w:cs="Arial" w:eastAsia="Arial" w:hAnsi="Arial"/>
          <w:color w:val="2C2C34"/>
          <w:sz w:val="20"/>
          <w:szCs w:val="20"/>
        </w:rPr>
        <w:t xml:space="preserve">Beschäftigte und Nutzer des Auftraggebers</w:t>
      </w:r>
    </w:p>
    <w:p>
      <w:pPr>
        <w:pStyle w:val="Heading2"/>
      </w:pPr>
      <w:r>
        <w:rPr>
          <w:rFonts w:ascii="Arial" w:cs="Arial" w:eastAsia="Arial" w:hAnsi="Arial"/>
          <w:color w:val="1A1F3D"/>
        </w:rPr>
        <w:t xml:space="preserve">3. Art der personenbezogenen Daten</w:t>
      </w:r>
    </w:p>
    <w:p>
      <w:pPr>
        <w:pStyle w:val="ListParagraph"/>
        <w:numPr>
          <w:ilvl w:val="0"/>
          <w:numId w:val="2"/>
        </w:numPr>
        <w:spacing w:after="60"/>
      </w:pPr>
      <w:r>
        <w:rPr>
          <w:rFonts w:ascii="Arial" w:cs="Arial" w:eastAsia="Arial" w:hAnsi="Arial"/>
          <w:color w:val="2C2C34"/>
          <w:sz w:val="20"/>
          <w:szCs w:val="20"/>
        </w:rPr>
        <w:t xml:space="preserve">Stammdaten (Name, Vorname, Titel, Firma, Position)</w:t>
      </w:r>
    </w:p>
    <w:p>
      <w:pPr>
        <w:pStyle w:val="ListParagraph"/>
        <w:numPr>
          <w:ilvl w:val="0"/>
          <w:numId w:val="2"/>
        </w:numPr>
        <w:spacing w:after="60"/>
      </w:pPr>
      <w:r>
        <w:rPr>
          <w:rFonts w:ascii="Arial" w:cs="Arial" w:eastAsia="Arial" w:hAnsi="Arial"/>
          <w:color w:val="2C2C34"/>
          <w:sz w:val="20"/>
          <w:szCs w:val="20"/>
        </w:rPr>
        <w:t xml:space="preserve">Kontaktdaten (E-Mail, Telefon, Adresse)</w:t>
      </w:r>
    </w:p>
    <w:p>
      <w:pPr>
        <w:pStyle w:val="ListParagraph"/>
        <w:numPr>
          <w:ilvl w:val="0"/>
          <w:numId w:val="2"/>
        </w:numPr>
        <w:spacing w:after="60"/>
      </w:pPr>
      <w:r>
        <w:rPr>
          <w:rFonts w:ascii="Arial" w:cs="Arial" w:eastAsia="Arial" w:hAnsi="Arial"/>
          <w:color w:val="2C2C34"/>
          <w:sz w:val="20"/>
          <w:szCs w:val="20"/>
        </w:rPr>
        <w:t xml:space="preserve">Kommunikationsdaten (E-Mail-Inhalte, Anrufnotizen, Transkriptionen)</w:t>
      </w:r>
    </w:p>
    <w:p>
      <w:pPr>
        <w:pStyle w:val="ListParagraph"/>
        <w:numPr>
          <w:ilvl w:val="0"/>
          <w:numId w:val="2"/>
        </w:numPr>
        <w:spacing w:after="60"/>
      </w:pPr>
      <w:r>
        <w:rPr>
          <w:rFonts w:ascii="Arial" w:cs="Arial" w:eastAsia="Arial" w:hAnsi="Arial"/>
          <w:color w:val="2C2C34"/>
          <w:sz w:val="20"/>
          <w:szCs w:val="20"/>
        </w:rPr>
        <w:t xml:space="preserve">Vertragsdaten (Angebote, Deals, Kaufhistorie)</w:t>
      </w:r>
    </w:p>
    <w:p>
      <w:pPr>
        <w:pStyle w:val="ListParagraph"/>
        <w:numPr>
          <w:ilvl w:val="0"/>
          <w:numId w:val="2"/>
        </w:numPr>
        <w:spacing w:after="60"/>
      </w:pPr>
      <w:r>
        <w:rPr>
          <w:rFonts w:ascii="Arial" w:cs="Arial" w:eastAsia="Arial" w:hAnsi="Arial"/>
          <w:color w:val="2C2C34"/>
          <w:sz w:val="20"/>
          <w:szCs w:val="20"/>
        </w:rPr>
        <w:t xml:space="preserve">Nutzungsdaten (Login-Zeiten, Aktivitätsprotokolle)</w:t>
      </w:r>
    </w:p>
    <w:p>
      <w:pPr>
        <w:pStyle w:val="ListParagraph"/>
        <w:numPr>
          <w:ilvl w:val="0"/>
          <w:numId w:val="2"/>
        </w:numPr>
        <w:spacing w:after="120"/>
      </w:pPr>
      <w:r>
        <w:rPr>
          <w:rFonts w:ascii="Arial" w:cs="Arial" w:eastAsia="Arial" w:hAnsi="Arial"/>
          <w:color w:val="2C2C34"/>
          <w:sz w:val="20"/>
          <w:szCs w:val="20"/>
        </w:rPr>
        <w:t xml:space="preserve">Besondere Kategorien personenbezogener Daten (Art. 9 DSGVO) werden nicht verarbeitet, es sei denn, der Auftraggeber gibt diese eigenständig in das System ein.</w:t>
      </w:r>
    </w:p>
    <w:p>
      <w:r>
        <w:br w:type="page"/>
      </w:r>
    </w:p>
    <w:p>
      <w:pPr>
        <w:pStyle w:val="Heading1"/>
      </w:pPr>
      <w:r>
        <w:rPr>
          <w:rFonts w:ascii="Arial" w:cs="Arial" w:eastAsia="Arial" w:hAnsi="Arial"/>
          <w:color w:val="1A1F3D"/>
        </w:rPr>
        <w:t xml:space="preserve">Anlage 2 – Technische und organisatorische Maßnahmen (TOM)</w:t>
      </w:r>
    </w:p>
    <w:p>
      <w:pPr>
        <w:spacing w:after="120" w:line="276"/>
      </w:pPr>
      <w:r>
        <w:rPr>
          <w:rFonts w:ascii="Arial" w:cs="Arial" w:eastAsia="Arial" w:hAnsi="Arial"/>
          <w:color w:val="2C2C34"/>
          <w:sz w:val="20"/>
          <w:szCs w:val="20"/>
        </w:rPr>
        <w:t xml:space="preserve">Der Auftragnehmer gewährleistet die nachfolgenden technischen und organisatorischen Maßnahmen gemäß Art. 32 DSGVO:</w:t>
      </w:r>
    </w:p>
    <w:p>
      <w:pPr>
        <w:pStyle w:val="Heading2"/>
      </w:pPr>
      <w:r>
        <w:rPr>
          <w:rFonts w:ascii="Arial" w:cs="Arial" w:eastAsia="Arial" w:hAnsi="Arial"/>
          <w:color w:val="1A1F3D"/>
        </w:rPr>
        <w:t xml:space="preserve">1. Vertraulichkeit (Art. 32 Abs. 1 lit. b DSGVO)</w:t>
      </w:r>
    </w:p>
    <w:p>
      <w:pPr>
        <w:spacing w:after="120" w:line="276"/>
      </w:pPr>
      <w:r>
        <w:rPr>
          <w:rFonts w:ascii="Arial" w:cs="Arial" w:eastAsia="Arial" w:hAnsi="Arial"/>
          <w:b/>
          <w:bCs/>
          <w:color w:val="2C2C34"/>
          <w:sz w:val="20"/>
          <w:szCs w:val="20"/>
        </w:rPr>
        <w:t xml:space="preserve">Zutrittskontrolle</w:t>
      </w:r>
    </w:p>
    <w:p>
      <w:pPr>
        <w:pStyle w:val="ListParagraph"/>
        <w:numPr>
          <w:ilvl w:val="0"/>
          <w:numId w:val="2"/>
        </w:numPr>
        <w:spacing w:after="60"/>
      </w:pPr>
      <w:r>
        <w:rPr>
          <w:rFonts w:ascii="Arial" w:cs="Arial" w:eastAsia="Arial" w:hAnsi="Arial"/>
          <w:color w:val="2C2C34"/>
          <w:sz w:val="20"/>
          <w:szCs w:val="20"/>
        </w:rPr>
        <w:t xml:space="preserve">Hosting in zertifizierten Rechenzentren innerhalb der EU (ISO 27001, SOC 2)</w:t>
      </w:r>
    </w:p>
    <w:p>
      <w:pPr>
        <w:pStyle w:val="ListParagraph"/>
        <w:numPr>
          <w:ilvl w:val="0"/>
          <w:numId w:val="2"/>
        </w:numPr>
        <w:spacing w:after="120"/>
      </w:pPr>
      <w:r>
        <w:rPr>
          <w:rFonts w:ascii="Arial" w:cs="Arial" w:eastAsia="Arial" w:hAnsi="Arial"/>
          <w:color w:val="2C2C34"/>
          <w:sz w:val="20"/>
          <w:szCs w:val="20"/>
        </w:rPr>
        <w:t xml:space="preserve">Physische Zugangskontrollen (Biometrie, Videoüberwachung, Sicherheitspersonal)</w:t>
      </w:r>
    </w:p>
    <w:p>
      <w:pPr>
        <w:spacing w:after="120" w:line="276"/>
      </w:pPr>
      <w:r>
        <w:rPr>
          <w:rFonts w:ascii="Arial" w:cs="Arial" w:eastAsia="Arial" w:hAnsi="Arial"/>
          <w:b/>
          <w:bCs/>
          <w:color w:val="2C2C34"/>
          <w:sz w:val="20"/>
          <w:szCs w:val="20"/>
        </w:rPr>
        <w:t xml:space="preserve">Zugangskontrolle</w:t>
      </w:r>
    </w:p>
    <w:p>
      <w:pPr>
        <w:pStyle w:val="ListParagraph"/>
        <w:numPr>
          <w:ilvl w:val="0"/>
          <w:numId w:val="2"/>
        </w:numPr>
        <w:spacing w:after="60"/>
      </w:pPr>
      <w:r>
        <w:rPr>
          <w:rFonts w:ascii="Arial" w:cs="Arial" w:eastAsia="Arial" w:hAnsi="Arial"/>
          <w:color w:val="2C2C34"/>
          <w:sz w:val="20"/>
          <w:szCs w:val="20"/>
        </w:rPr>
        <w:t xml:space="preserve">Verschlüsselung der Daten in Transit (TLS 1.2+) und at Rest (AES-256)</w:t>
      </w:r>
    </w:p>
    <w:p>
      <w:pPr>
        <w:pStyle w:val="ListParagraph"/>
        <w:numPr>
          <w:ilvl w:val="0"/>
          <w:numId w:val="2"/>
        </w:numPr>
        <w:spacing w:after="60"/>
      </w:pPr>
      <w:r>
        <w:rPr>
          <w:rFonts w:ascii="Arial" w:cs="Arial" w:eastAsia="Arial" w:hAnsi="Arial"/>
          <w:color w:val="2C2C34"/>
          <w:sz w:val="20"/>
          <w:szCs w:val="20"/>
        </w:rPr>
        <w:t xml:space="preserve">Multi-Faktor-Authentifizierung (MFA) für alle administrativen Zugänge</w:t>
      </w:r>
    </w:p>
    <w:p>
      <w:pPr>
        <w:pStyle w:val="ListParagraph"/>
        <w:numPr>
          <w:ilvl w:val="0"/>
          <w:numId w:val="2"/>
        </w:numPr>
        <w:spacing w:after="120"/>
      </w:pPr>
      <w:r>
        <w:rPr>
          <w:rFonts w:ascii="Arial" w:cs="Arial" w:eastAsia="Arial" w:hAnsi="Arial"/>
          <w:color w:val="2C2C34"/>
          <w:sz w:val="20"/>
          <w:szCs w:val="20"/>
        </w:rPr>
        <w:t xml:space="preserve">Passwortrichtlinien und automatische Sperrung bei Fehlversuchen</w:t>
      </w:r>
    </w:p>
    <w:p>
      <w:pPr>
        <w:spacing w:after="120" w:line="276"/>
      </w:pPr>
      <w:r>
        <w:rPr>
          <w:rFonts w:ascii="Arial" w:cs="Arial" w:eastAsia="Arial" w:hAnsi="Arial"/>
          <w:b/>
          <w:bCs/>
          <w:color w:val="2C2C34"/>
          <w:sz w:val="20"/>
          <w:szCs w:val="20"/>
        </w:rPr>
        <w:t xml:space="preserve">Zugriffskontrolle</w:t>
      </w:r>
    </w:p>
    <w:p>
      <w:pPr>
        <w:pStyle w:val="ListParagraph"/>
        <w:numPr>
          <w:ilvl w:val="0"/>
          <w:numId w:val="2"/>
        </w:numPr>
        <w:spacing w:after="60"/>
      </w:pPr>
      <w:r>
        <w:rPr>
          <w:rFonts w:ascii="Arial" w:cs="Arial" w:eastAsia="Arial" w:hAnsi="Arial"/>
          <w:color w:val="2C2C34"/>
          <w:sz w:val="20"/>
          <w:szCs w:val="20"/>
        </w:rPr>
        <w:t xml:space="preserve">Rollenbasiertes Berechtigungskonzept (RBAC)</w:t>
      </w:r>
    </w:p>
    <w:p>
      <w:pPr>
        <w:pStyle w:val="ListParagraph"/>
        <w:numPr>
          <w:ilvl w:val="0"/>
          <w:numId w:val="2"/>
        </w:numPr>
        <w:spacing w:after="60"/>
      </w:pPr>
      <w:r>
        <w:rPr>
          <w:rFonts w:ascii="Arial" w:cs="Arial" w:eastAsia="Arial" w:hAnsi="Arial"/>
          <w:color w:val="2C2C34"/>
          <w:sz w:val="20"/>
          <w:szCs w:val="20"/>
        </w:rPr>
        <w:t xml:space="preserve">Protokollierung aller Zugriffe und Änderungen (Audit Logs)</w:t>
      </w:r>
    </w:p>
    <w:p>
      <w:pPr>
        <w:pStyle w:val="ListParagraph"/>
        <w:numPr>
          <w:ilvl w:val="0"/>
          <w:numId w:val="2"/>
        </w:numPr>
        <w:spacing w:after="120"/>
      </w:pPr>
      <w:r>
        <w:rPr>
          <w:rFonts w:ascii="Arial" w:cs="Arial" w:eastAsia="Arial" w:hAnsi="Arial"/>
          <w:color w:val="2C2C34"/>
          <w:sz w:val="20"/>
          <w:szCs w:val="20"/>
        </w:rPr>
        <w:t xml:space="preserve">Principle of Least Privilege</w:t>
      </w:r>
    </w:p>
    <w:p>
      <w:pPr>
        <w:spacing w:after="120" w:line="276"/>
      </w:pPr>
      <w:r>
        <w:rPr>
          <w:rFonts w:ascii="Arial" w:cs="Arial" w:eastAsia="Arial" w:hAnsi="Arial"/>
          <w:b/>
          <w:bCs/>
          <w:color w:val="2C2C34"/>
          <w:sz w:val="20"/>
          <w:szCs w:val="20"/>
        </w:rPr>
        <w:t xml:space="preserve">Trennungskontrolle</w:t>
      </w:r>
    </w:p>
    <w:p>
      <w:pPr>
        <w:pStyle w:val="ListParagraph"/>
        <w:numPr>
          <w:ilvl w:val="0"/>
          <w:numId w:val="2"/>
        </w:numPr>
        <w:spacing w:after="120"/>
      </w:pPr>
      <w:r>
        <w:rPr>
          <w:rFonts w:ascii="Arial" w:cs="Arial" w:eastAsia="Arial" w:hAnsi="Arial"/>
          <w:color w:val="2C2C34"/>
          <w:sz w:val="20"/>
          <w:szCs w:val="20"/>
        </w:rPr>
        <w:t xml:space="preserve">Mandantenfähige Architektur mit logischer Datentrennung pro Auftraggeber</w:t>
      </w:r>
    </w:p>
    <w:p>
      <w:pPr>
        <w:pStyle w:val="Heading2"/>
      </w:pPr>
      <w:r>
        <w:rPr>
          <w:rFonts w:ascii="Arial" w:cs="Arial" w:eastAsia="Arial" w:hAnsi="Arial"/>
          <w:color w:val="1A1F3D"/>
        </w:rPr>
        <w:t xml:space="preserve">2. Integrität (Art. 32 Abs. 1 lit. b DSGVO)</w:t>
      </w:r>
    </w:p>
    <w:p>
      <w:pPr>
        <w:spacing w:after="120" w:line="276"/>
      </w:pPr>
      <w:r>
        <w:rPr>
          <w:rFonts w:ascii="Arial" w:cs="Arial" w:eastAsia="Arial" w:hAnsi="Arial"/>
          <w:b/>
          <w:bCs/>
          <w:color w:val="2C2C34"/>
          <w:sz w:val="20"/>
          <w:szCs w:val="20"/>
        </w:rPr>
        <w:t xml:space="preserve">Weitergabekontrolle</w:t>
      </w:r>
    </w:p>
    <w:p>
      <w:pPr>
        <w:pStyle w:val="ListParagraph"/>
        <w:numPr>
          <w:ilvl w:val="0"/>
          <w:numId w:val="2"/>
        </w:numPr>
        <w:spacing w:after="60"/>
      </w:pPr>
      <w:r>
        <w:rPr>
          <w:rFonts w:ascii="Arial" w:cs="Arial" w:eastAsia="Arial" w:hAnsi="Arial"/>
          <w:color w:val="2C2C34"/>
          <w:sz w:val="20"/>
          <w:szCs w:val="20"/>
        </w:rPr>
        <w:t xml:space="preserve">Verschlüsselung aller Datenübertragungen</w:t>
      </w:r>
    </w:p>
    <w:p>
      <w:pPr>
        <w:pStyle w:val="ListParagraph"/>
        <w:numPr>
          <w:ilvl w:val="0"/>
          <w:numId w:val="2"/>
        </w:numPr>
        <w:spacing w:after="120"/>
      </w:pPr>
      <w:r>
        <w:rPr>
          <w:rFonts w:ascii="Arial" w:cs="Arial" w:eastAsia="Arial" w:hAnsi="Arial"/>
          <w:color w:val="2C2C34"/>
          <w:sz w:val="20"/>
          <w:szCs w:val="20"/>
        </w:rPr>
        <w:t xml:space="preserve">Dokumentation aller Datenweitergaben</w:t>
      </w:r>
    </w:p>
    <w:p>
      <w:pPr>
        <w:spacing w:after="120" w:line="276"/>
      </w:pPr>
      <w:r>
        <w:rPr>
          <w:rFonts w:ascii="Arial" w:cs="Arial" w:eastAsia="Arial" w:hAnsi="Arial"/>
          <w:b/>
          <w:bCs/>
          <w:color w:val="2C2C34"/>
          <w:sz w:val="20"/>
          <w:szCs w:val="20"/>
        </w:rPr>
        <w:t xml:space="preserve">Eingabekontrolle</w:t>
      </w:r>
    </w:p>
    <w:p>
      <w:pPr>
        <w:pStyle w:val="ListParagraph"/>
        <w:numPr>
          <w:ilvl w:val="0"/>
          <w:numId w:val="2"/>
        </w:numPr>
        <w:spacing w:after="120"/>
      </w:pPr>
      <w:r>
        <w:rPr>
          <w:rFonts w:ascii="Arial" w:cs="Arial" w:eastAsia="Arial" w:hAnsi="Arial"/>
          <w:color w:val="2C2C34"/>
          <w:sz w:val="20"/>
          <w:szCs w:val="20"/>
        </w:rPr>
        <w:t xml:space="preserve">Lückenlose Protokollierung von Eingabe, Änderung und Löschung von Daten</w:t>
      </w:r>
    </w:p>
    <w:p>
      <w:pPr>
        <w:pStyle w:val="Heading2"/>
      </w:pPr>
      <w:r>
        <w:rPr>
          <w:rFonts w:ascii="Arial" w:cs="Arial" w:eastAsia="Arial" w:hAnsi="Arial"/>
          <w:color w:val="1A1F3D"/>
        </w:rPr>
        <w:t xml:space="preserve">3. Verfügbarkeit und Belastbarkeit (Art. 32 Abs. 1 lit. b, c DSGVO)</w:t>
      </w:r>
    </w:p>
    <w:p>
      <w:pPr>
        <w:pStyle w:val="ListParagraph"/>
        <w:numPr>
          <w:ilvl w:val="0"/>
          <w:numId w:val="2"/>
        </w:numPr>
        <w:spacing w:after="60"/>
      </w:pPr>
      <w:r>
        <w:rPr>
          <w:rFonts w:ascii="Arial" w:cs="Arial" w:eastAsia="Arial" w:hAnsi="Arial"/>
          <w:color w:val="2C2C34"/>
          <w:sz w:val="20"/>
          <w:szCs w:val="20"/>
        </w:rPr>
        <w:t xml:space="preserve">Redundante Infrastruktur und automatisches Failover</w:t>
      </w:r>
    </w:p>
    <w:p>
      <w:pPr>
        <w:pStyle w:val="ListParagraph"/>
        <w:numPr>
          <w:ilvl w:val="0"/>
          <w:numId w:val="2"/>
        </w:numPr>
        <w:spacing w:after="60"/>
      </w:pPr>
      <w:r>
        <w:rPr>
          <w:rFonts w:ascii="Arial" w:cs="Arial" w:eastAsia="Arial" w:hAnsi="Arial"/>
          <w:color w:val="2C2C34"/>
          <w:sz w:val="20"/>
          <w:szCs w:val="20"/>
        </w:rPr>
        <w:t xml:space="preserve">Tägliche Backups mit verschlüsselter Speicherung und regelmäßigen Restore-Tests</w:t>
      </w:r>
    </w:p>
    <w:p>
      <w:pPr>
        <w:pStyle w:val="ListParagraph"/>
        <w:numPr>
          <w:ilvl w:val="0"/>
          <w:numId w:val="2"/>
        </w:numPr>
        <w:spacing w:after="60"/>
      </w:pPr>
      <w:r>
        <w:rPr>
          <w:rFonts w:ascii="Arial" w:cs="Arial" w:eastAsia="Arial" w:hAnsi="Arial"/>
          <w:color w:val="2C2C34"/>
          <w:sz w:val="20"/>
          <w:szCs w:val="20"/>
        </w:rPr>
        <w:t xml:space="preserve">DDoS-Schutz und Firewall-Systeme</w:t>
      </w:r>
    </w:p>
    <w:p>
      <w:pPr>
        <w:pStyle w:val="ListParagraph"/>
        <w:numPr>
          <w:ilvl w:val="0"/>
          <w:numId w:val="2"/>
        </w:numPr>
        <w:spacing w:after="120"/>
      </w:pPr>
      <w:r>
        <w:rPr>
          <w:rFonts w:ascii="Arial" w:cs="Arial" w:eastAsia="Arial" w:hAnsi="Arial"/>
          <w:color w:val="2C2C34"/>
          <w:sz w:val="20"/>
          <w:szCs w:val="20"/>
        </w:rPr>
        <w:t xml:space="preserve">Notfallplan und Disaster-Recovery-Konzept</w:t>
      </w:r>
    </w:p>
    <w:p>
      <w:pPr>
        <w:pStyle w:val="Heading2"/>
      </w:pPr>
      <w:r>
        <w:rPr>
          <w:rFonts w:ascii="Arial" w:cs="Arial" w:eastAsia="Arial" w:hAnsi="Arial"/>
          <w:color w:val="1A1F3D"/>
        </w:rPr>
        <w:t xml:space="preserve">4. Verfahren zur regelmäßigen Überprüfung (Art. 32 Abs. 1 lit. d DSGVO)</w:t>
      </w:r>
    </w:p>
    <w:p>
      <w:pPr>
        <w:pStyle w:val="ListParagraph"/>
        <w:numPr>
          <w:ilvl w:val="0"/>
          <w:numId w:val="2"/>
        </w:numPr>
        <w:spacing w:after="60"/>
      </w:pPr>
      <w:r>
        <w:rPr>
          <w:rFonts w:ascii="Arial" w:cs="Arial" w:eastAsia="Arial" w:hAnsi="Arial"/>
          <w:color w:val="2C2C34"/>
          <w:sz w:val="20"/>
          <w:szCs w:val="20"/>
        </w:rPr>
        <w:t xml:space="preserve">Regelmäßige Penetrationstests und Vulnerability Scans</w:t>
      </w:r>
    </w:p>
    <w:p>
      <w:pPr>
        <w:pStyle w:val="ListParagraph"/>
        <w:numPr>
          <w:ilvl w:val="0"/>
          <w:numId w:val="2"/>
        </w:numPr>
        <w:spacing w:after="60"/>
      </w:pPr>
      <w:r>
        <w:rPr>
          <w:rFonts w:ascii="Arial" w:cs="Arial" w:eastAsia="Arial" w:hAnsi="Arial"/>
          <w:color w:val="2C2C34"/>
          <w:sz w:val="20"/>
          <w:szCs w:val="20"/>
        </w:rPr>
        <w:t xml:space="preserve">Jährliche interne Audits des Datenschutz- und IT-Sicherheitskonzepts</w:t>
      </w:r>
    </w:p>
    <w:p>
      <w:pPr>
        <w:pStyle w:val="ListParagraph"/>
        <w:numPr>
          <w:ilvl w:val="0"/>
          <w:numId w:val="2"/>
        </w:numPr>
        <w:spacing w:after="60"/>
      </w:pPr>
      <w:r>
        <w:rPr>
          <w:rFonts w:ascii="Arial" w:cs="Arial" w:eastAsia="Arial" w:hAnsi="Arial"/>
          <w:color w:val="2C2C34"/>
          <w:sz w:val="20"/>
          <w:szCs w:val="20"/>
        </w:rPr>
        <w:t xml:space="preserve">Regelmäßige Schulungen und Sensibilisierung der Beschäftigten</w:t>
      </w:r>
    </w:p>
    <w:p>
      <w:pPr>
        <w:pStyle w:val="ListParagraph"/>
        <w:numPr>
          <w:ilvl w:val="0"/>
          <w:numId w:val="2"/>
        </w:numPr>
        <w:spacing w:after="120"/>
      </w:pPr>
      <w:r>
        <w:rPr>
          <w:rFonts w:ascii="Arial" w:cs="Arial" w:eastAsia="Arial" w:hAnsi="Arial"/>
          <w:color w:val="2C2C34"/>
          <w:sz w:val="20"/>
          <w:szCs w:val="20"/>
        </w:rPr>
        <w:t xml:space="preserve">Datenschutz-Management-System mit fortlaufendem Verbesserungsprozess</w:t>
      </w:r>
    </w:p>
    <w:p>
      <w:r>
        <w:br w:type="page"/>
      </w:r>
    </w:p>
    <w:p>
      <w:pPr>
        <w:pStyle w:val="Heading1"/>
      </w:pPr>
      <w:r>
        <w:rPr>
          <w:rFonts w:ascii="Arial" w:cs="Arial" w:eastAsia="Arial" w:hAnsi="Arial"/>
          <w:color w:val="1A1F3D"/>
        </w:rPr>
        <w:t xml:space="preserve">Anlage 3 – Genehmigte Unterauftragsverarbeiter</w:t>
      </w:r>
    </w:p>
    <w:p>
      <w:pPr>
        <w:spacing w:after="120" w:line="276"/>
      </w:pPr>
      <w:r>
        <w:rPr>
          <w:rFonts w:ascii="Arial" w:cs="Arial" w:eastAsia="Arial" w:hAnsi="Arial"/>
          <w:color w:val="2C2C34"/>
          <w:sz w:val="20"/>
          <w:szCs w:val="20"/>
        </w:rPr>
        <w:t xml:space="preserve">Der Auftraggeber erteilt hiermit seine allgemeine Genehmigung zum Einsatz der nachfolgend genannten Unterauftragsverarbeiter: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126"/>
      </w:tblGrid>
      <w:tr>
        <w:tc>
          <w:tcPr>
            <w:tcW w:type="dxa" w:w="2200"/>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Unternehmen</w:t>
            </w:r>
          </w:p>
        </w:tc>
        <w:tc>
          <w:tcPr>
            <w:tcW w:type="dxa" w:w="2200"/>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Standort</w:t>
            </w:r>
          </w:p>
        </w:tc>
        <w:tc>
          <w:tcPr>
            <w:tcW w:type="dxa" w:w="2500"/>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Zweck</w:t>
            </w:r>
          </w:p>
        </w:tc>
        <w:tc>
          <w:tcPr>
            <w:tcW w:type="dxa" w:w="2126"/>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Garantie</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IONOS SE</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 (Deutschland)</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Hosting und Infrastruktur</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Daten in der EU gespeichert</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Resend,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USA</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Transaktionaler E-Mail-Versand</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EU-Standardvertragsklauseln (SCCs)</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Anthropic, PBC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USA</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KI-Funktionen (Claude API)</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EU-Standardvertragsklauseln (SCCs)</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Stripe,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USA / EU</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Zahlungsabwicklung</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EU-US-Datenschutzrahmen (DPF)</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Twilio,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USA</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SMS- und WhatsApp-Kommunikation</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EU-Standardvertragsklauseln (SCCs)</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Google LLC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USA / EU</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OAuth-Authentifizierung, Kalender-Synchronisation</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EU-US-Datenschutzrahmen (DPF)</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Meta Platforms,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USA / EU</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WhatsApp Business API</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EU-US-Datenschutzrahmen (DPF)</w:t>
            </w:r>
          </w:p>
        </w:tc>
      </w:tr>
    </w:tbl>
    <w:p>
      <w:pPr>
        <w:spacing w:after="120" w:line="276"/>
      </w:pPr>
      <w:r>
        <w:rPr>
          <w:rFonts w:ascii="Arial" w:cs="Arial" w:eastAsia="Arial" w:hAnsi="Arial"/>
          <w:color w:val="2C2C34"/>
          <w:sz w:val="20"/>
          <w:szCs w:val="20"/>
        </w:rPr>
        <w:t xml:space="preserve"/>
      </w:r>
    </w:p>
    <w:p>
      <w:pPr>
        <w:spacing w:after="120" w:line="276"/>
      </w:pPr>
    </w:p>
    <w:p>
      <w:pPr>
        <w:spacing w:after="120" w:line="276"/>
        <w:rPr>
          <w:i/>
          <w:iCs/>
          <w:color w:val="8C8A94"/>
        </w:rPr>
      </w:pPr>
      <w:r>
        <w:rPr>
          <w:rFonts w:ascii="Arial" w:cs="Arial" w:eastAsia="Arial" w:hAnsi="Arial"/>
          <w:i/>
          <w:iCs/>
          <w:color w:val="8C8A94"/>
          <w:sz w:val="20"/>
          <w:szCs w:val="20"/>
        </w:rPr>
        <w:t xml:space="preserve">Die aktuelle Liste der Unterauftragsverarbeiter wird unter tako.software/legal/subprocessors veröffentlicht und bei Änderungen gemäß § 5 Abs. 2 aktualisiert.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2DC" w:sz="2" w:space="4"/>
      </w:pBdr>
      <w:jc w:val="right"/>
    </w:pPr>
    <w:r>
      <w:rPr>
        <w:rFonts w:ascii="Arial" w:cs="Arial" w:eastAsia="Arial" w:hAnsi="Arial"/>
        <w:color w:val="8C8A94"/>
        <w:sz w:val="16"/>
        <w:szCs w:val="16"/>
      </w:rPr>
      <w:t xml:space="preserve">Seite </w:t>
    </w:r>
    <w:r>
      <w:rPr>
        <w:rFonts w:ascii="Arial" w:cs="Arial" w:eastAsia="Arial" w:hAnsi="Arial"/>
        <w:color w:val="8C8A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2DC" w:sz="2" w:space="4"/>
      </w:pBdr>
    </w:pPr>
    <w:r>
      <w:rPr>
        <w:rFonts w:ascii="Arial" w:cs="Arial" w:eastAsia="Arial" w:hAnsi="Arial"/>
        <w:color w:val="8C8A94"/>
        <w:sz w:val="16"/>
        <w:szCs w:val="16"/>
      </w:rPr>
      <w:t xml:space="preserve">Auftragsverarbeitungsvertrag – TAKO CRM / Fintery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F3D"/>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1A1F3D"/>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A1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2026-04-22T23:43:53.301Z</dcterms:created>
  <dcterms:modified xsi:type="dcterms:W3CDTF">2026-04-22T23:43:53.301Z</dcterms:modified>
</cp:coreProperties>
</file>

<file path=docProps/custom.xml><?xml version="1.0" encoding="utf-8"?>
<Properties xmlns="http://schemas.openxmlformats.org/officeDocument/2006/custom-properties" xmlns:vt="http://schemas.openxmlformats.org/officeDocument/2006/docPropsVTypes"/>
</file>