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Arial" w:cs="Arial" w:eastAsia="Arial" w:hAnsi="Arial"/>
          <w:b/>
          <w:bCs/>
          <w:color w:val="1A1F3D"/>
          <w:sz w:val="36"/>
          <w:szCs w:val="36"/>
        </w:rPr>
        <w:t xml:space="preserve">DATA PROCESSING AGREEMENT</w:t>
      </w:r>
    </w:p>
    <w:p>
      <w:pPr>
        <w:spacing w:after="120"/>
        <w:jc w:val="center"/>
      </w:pPr>
      <w:r>
        <w:rPr>
          <w:rFonts w:ascii="Arial" w:cs="Arial" w:eastAsia="Arial" w:hAnsi="Arial"/>
          <w:color w:val="8C8A94"/>
          <w:sz w:val="24"/>
          <w:szCs w:val="24"/>
        </w:rPr>
        <w:t xml:space="preserve">pursuant to Article 28 GDPR</w:t>
      </w:r>
    </w:p>
    <w:p>
      <w:pPr>
        <w:spacing w:after="600"/>
        <w:jc w:val="center"/>
      </w:pPr>
      <w:r>
        <w:rPr>
          <w:rFonts w:ascii="Arial" w:cs="Arial" w:eastAsia="Arial" w:hAnsi="Arial"/>
          <w:color w:val="8C8A94"/>
          <w:sz w:val="20"/>
          <w:szCs w:val="20"/>
        </w:rPr>
        <w:t xml:space="preserve">(General Data Protection Regulation / EU 2016/679)</w:t>
      </w:r>
    </w:p>
    <w:p>
      <w:pPr>
        <w:pBdr>
          <w:bottom w:val="single" w:color="1A1F3D" w:sz="6" w:space="1"/>
        </w:pBdr>
        <w:spacing w:after="600"/>
      </w:pPr>
    </w:p>
    <w:p>
      <w:pPr>
        <w:spacing w:after="200"/>
        <w:jc w:val="center"/>
      </w:pPr>
      <w:r>
        <w:rPr>
          <w:rFonts w:ascii="Arial" w:cs="Arial" w:eastAsia="Arial" w:hAnsi="Arial"/>
          <w:color w:val="8C8A94"/>
          <w:sz w:val="22"/>
          <w:szCs w:val="22"/>
        </w:rPr>
        <w:t xml:space="preserve">between</w:t>
      </w:r>
    </w:p>
    <w:p>
      <w:pPr>
        <w:spacing w:after="80"/>
        <w:jc w:val="center"/>
      </w:pPr>
      <w:r>
        <w:rPr>
          <w:rFonts w:ascii="Arial" w:cs="Arial" w:eastAsia="Arial" w:hAnsi="Arial"/>
          <w:color w:val="8C8A94"/>
          <w:sz w:val="20"/>
          <w:szCs w:val="20"/>
        </w:rPr>
        <w:t xml:space="preserve">the Controller</w:t>
      </w:r>
    </w:p>
    <w:p>
      <w:pPr>
        <w:spacing w:after="400"/>
        <w:jc w:val="center"/>
      </w:pPr>
      <w:r>
        <w:rPr>
          <w:rFonts w:ascii="Arial" w:cs="Arial" w:eastAsia="Arial" w:hAnsi="Arial"/>
          <w:color w:val="8C8A94"/>
          <w:sz w:val="20"/>
          <w:szCs w:val="20"/>
        </w:rPr>
        <w:t xml:space="preserve">– hereinafter referred to as the “Controller” –</w:t>
      </w:r>
    </w:p>
    <w:p>
      <w:pPr>
        <w:spacing w:after="200"/>
        <w:jc w:val="center"/>
      </w:pPr>
      <w:r>
        <w:rPr>
          <w:rFonts w:ascii="Arial" w:cs="Arial" w:eastAsia="Arial" w:hAnsi="Arial"/>
          <w:color w:val="8C8A94"/>
          <w:sz w:val="22"/>
          <w:szCs w:val="22"/>
        </w:rPr>
        <w:t xml:space="preserve">and</w:t>
      </w:r>
    </w:p>
    <w:p>
      <w:pPr>
        <w:spacing w:after="80"/>
        <w:jc w:val="center"/>
      </w:pPr>
      <w:r>
        <w:rPr>
          <w:rFonts w:ascii="Arial" w:cs="Arial" w:eastAsia="Arial" w:hAnsi="Arial"/>
          <w:b/>
          <w:bCs/>
          <w:color w:val="1A1F3D"/>
          <w:sz w:val="26"/>
          <w:szCs w:val="26"/>
        </w:rPr>
        <w:t xml:space="preserve">Fintery Ltd.</w:t>
      </w:r>
    </w:p>
    <w:p>
      <w:pPr>
        <w:spacing w:after="80"/>
        <w:jc w:val="center"/>
      </w:pPr>
      <w:r>
        <w:rPr>
          <w:rFonts w:ascii="Arial" w:cs="Arial" w:eastAsia="Arial" w:hAnsi="Arial"/>
          <w:color w:val="8C8A94"/>
          <w:sz w:val="20"/>
          <w:szCs w:val="20"/>
        </w:rPr>
        <w:t xml:space="preserve">acting for the product TAKO CRM</w:t>
      </w:r>
    </w:p>
    <w:p>
      <w:pPr>
        <w:spacing w:after="400"/>
        <w:jc w:val="center"/>
      </w:pPr>
      <w:r>
        <w:rPr>
          <w:rFonts w:ascii="Arial" w:cs="Arial" w:eastAsia="Arial" w:hAnsi="Arial"/>
          <w:color w:val="8C8A94"/>
          <w:sz w:val="20"/>
          <w:szCs w:val="20"/>
        </w:rPr>
        <w:t xml:space="preserve">– hereinafter referred to as the “Processor” –</w:t>
      </w:r>
    </w:p>
    <w:p>
      <w:pPr>
        <w:spacing w:after="200"/>
        <w:jc w:val="center"/>
      </w:pPr>
      <w:r>
        <w:rPr>
          <w:rFonts w:ascii="Arial" w:cs="Arial" w:eastAsia="Arial" w:hAnsi="Arial"/>
          <w:i/>
          <w:iCs/>
          <w:color w:val="8C8A94"/>
          <w:sz w:val="20"/>
          <w:szCs w:val="20"/>
        </w:rPr>
        <w:t xml:space="preserve">collectively the “Parties”</w:t>
      </w:r>
    </w:p>
    <w:p>
      <w:pPr>
        <w:spacing w:before="600"/>
        <w:jc w:val="center"/>
      </w:pPr>
      <w:r>
        <w:rPr>
          <w:rFonts w:ascii="Arial" w:cs="Arial" w:eastAsia="Arial" w:hAnsi="Arial"/>
          <w:color w:val="8C8A94"/>
          <w:sz w:val="20"/>
          <w:szCs w:val="20"/>
        </w:rPr>
        <w:t xml:space="preserve">Version: 23 April 2026</w:t>
      </w:r>
    </w:p>
    <w:p>
      <w:pPr>
        <w:sectPr>
          <w:pgSz w:w="11906" w:h="16838" w:orient="portrait"/>
          <w:pgMar w:top="2880" w:right="1440" w:bottom="1440" w:left="1440" w:header="708" w:footer="708" w:gutter="0"/>
          <w:pgNumType/>
          <w:docGrid w:linePitch="360"/>
        </w:sectPr>
      </w:pPr>
    </w:p>
    <w:p>
      <w:pPr>
        <w:pStyle w:val="Heading1"/>
      </w:pPr>
      <w:r>
        <w:rPr>
          <w:rFonts w:ascii="Arial" w:cs="Arial" w:eastAsia="Arial" w:hAnsi="Arial"/>
          <w:color w:val="1A1F3D"/>
        </w:rPr>
        <w:t xml:space="preserve">Preamble</w:t>
      </w:r>
    </w:p>
    <w:p>
      <w:pPr>
        <w:spacing w:after="120" w:line="276"/>
      </w:pPr>
      <w:r>
        <w:rPr>
          <w:rFonts w:ascii="Arial" w:cs="Arial" w:eastAsia="Arial" w:hAnsi="Arial"/>
          <w:color w:val="2C2C34"/>
          <w:sz w:val="20"/>
          <w:szCs w:val="20"/>
        </w:rPr>
        <w:t xml:space="preserve">This Data Processing Agreement (hereinafter “DPA”) specifies the data protection obligations of the Parties pursuant to Article 28 of Regulation (EU) 2016/679 (General Data Protection Regulation, hereinafter “GDPR”) in connection with the use of the product TAKO CRM, operated by Fintery Ltd.</w:t>
      </w:r>
    </w:p>
    <w:p>
      <w:pPr>
        <w:spacing w:after="120" w:line="276"/>
      </w:pPr>
      <w:r>
        <w:rPr>
          <w:rFonts w:ascii="Arial" w:cs="Arial" w:eastAsia="Arial" w:hAnsi="Arial"/>
          <w:color w:val="2C2C34"/>
          <w:sz w:val="20"/>
          <w:szCs w:val="20"/>
        </w:rPr>
        <w:t xml:space="preserve">This DPA supplements the main agreement between the Parties for the use of TAKO CRM (hereinafter “Main Agreement”). In the event of any conflict between this DPA and the Main Agreement, the provisions of this DPA shall prevail insofar as they relate to the protection of personal data.</w:t>
      </w:r>
    </w:p>
    <w:p>
      <w:pPr>
        <w:pStyle w:val="Heading1"/>
      </w:pPr>
      <w:r>
        <w:rPr>
          <w:rFonts w:ascii="Arial" w:cs="Arial" w:eastAsia="Arial" w:hAnsi="Arial"/>
          <w:color w:val="1A1F3D"/>
        </w:rPr>
        <w:t xml:space="preserve">Section 1 – Subject Matter and Duration of Processing</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The Processor shall process personal data on behalf of the Controller in the course of providing the CRM software TAKO CRM. The nature and purpose of the processing are set out in the Main Agreement and in Annex 1 to this DPA.</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The duration of the processing corresponds to the term of the Main Agreement. Upon termination of the Main Agreement, the provisions of Section 10 of this DPA shall apply.</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The categories of data subjects and the types of personal data are specified in Annex 1.</w:t>
      </w:r>
    </w:p>
    <w:p>
      <w:pPr>
        <w:pStyle w:val="Heading1"/>
      </w:pPr>
      <w:r>
        <w:rPr>
          <w:rFonts w:ascii="Arial" w:cs="Arial" w:eastAsia="Arial" w:hAnsi="Arial"/>
          <w:color w:val="1A1F3D"/>
        </w:rPr>
        <w:t xml:space="preserve">Section 2 – Controller’s Instructions</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The Processor shall process personal data only on documented instructions from the Controller (Article 28(3)(a) GDPR), unless required to do so by Union or Member State law to which the Processor is subject. In such a case, the Processor shall inform the Controller of that legal requirement before processing, unless that law prohibits such information on important grounds of public interest.</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Instructions shall generally be issued in text form (email shall suffice). Oral instructions must be confirmed in text form without undue delay.</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If the Processor considers that an instruction from the Controller infringes data protection law, the Processor shall immediately inform the Controller. The Processor shall be entitled to suspend the execution of the relevant instruction until confirmation or amendment by the Controller.</w:t>
      </w:r>
    </w:p>
    <w:p>
      <w:pPr>
        <w:pStyle w:val="Heading1"/>
      </w:pPr>
      <w:r>
        <w:rPr>
          <w:rFonts w:ascii="Arial" w:cs="Arial" w:eastAsia="Arial" w:hAnsi="Arial"/>
          <w:color w:val="1A1F3D"/>
        </w:rPr>
        <w:t xml:space="preserve">Section 3 – Obligations of the Processor</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The Processor shall ensure that persons authorised to process the personal data have committed themselves to confidentiality or are under an appropriate statutory obligation of confidentiality (Article 28(3)(b) GDPR).</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The Processor shall implement all technical and organisational measures required under Article 32 GDPR (hereinafter “TOMs”). The measures in effect at the time of the conclusion of this DPA are documented in Annex 2.</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The Processor shall assist the Controller, taking into account the nature of the processing, by appropriate technical and organisational measures, insofar as possible, for the fulfilment of the Controller’s obligation to respond to requests for exercising the data subject’s rights under Chapter III GDPR (Article 28(3)(e) GDPR).</w:t>
      </w:r>
    </w:p>
    <w:p>
      <w:pPr>
        <w:spacing w:after="120" w:line="276"/>
      </w:pPr>
      <w:r>
        <w:rPr>
          <w:rFonts w:ascii="Arial" w:cs="Arial" w:eastAsia="Arial" w:hAnsi="Arial"/>
          <w:b/>
          <w:bCs/>
          <w:color w:val="2C2C34"/>
          <w:sz w:val="20"/>
          <w:szCs w:val="20"/>
        </w:rPr>
        <w:t xml:space="preserve">(4) </w:t>
      </w:r>
      <w:r>
        <w:rPr>
          <w:rFonts w:ascii="Arial" w:cs="Arial" w:eastAsia="Arial" w:hAnsi="Arial"/>
          <w:color w:val="2C2C34"/>
          <w:sz w:val="20"/>
          <w:szCs w:val="20"/>
        </w:rPr>
        <w:t xml:space="preserve">The Processor shall assist the Controller in ensuring compliance with the obligations pursuant to Articles 32 to 36 GDPR, taking into account the nature of the processing and the information available to the Processor (Article 28(3)(f) GDPR).</w:t>
      </w:r>
    </w:p>
    <w:p>
      <w:pPr>
        <w:pStyle w:val="Heading1"/>
      </w:pPr>
      <w:r>
        <w:rPr>
          <w:rFonts w:ascii="Arial" w:cs="Arial" w:eastAsia="Arial" w:hAnsi="Arial"/>
          <w:color w:val="1A1F3D"/>
        </w:rPr>
        <w:t xml:space="preserve">Section 4 – Notification of Personal Data Breaches</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The Processor shall notify the Controller without undue delay, and in any event within 24 hours of becoming aware, of any personal data breach (Article 33(2) GDPR).</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The notification shall include at least the following information:</w:t>
      </w:r>
    </w:p>
    <w:p>
      <w:pPr>
        <w:pStyle w:val="ListParagraph"/>
        <w:numPr>
          <w:ilvl w:val="0"/>
          <w:numId w:val="2"/>
        </w:numPr>
        <w:spacing w:after="60"/>
      </w:pPr>
      <w:r>
        <w:rPr>
          <w:rFonts w:ascii="Arial" w:cs="Arial" w:eastAsia="Arial" w:hAnsi="Arial"/>
          <w:color w:val="2C2C34"/>
          <w:sz w:val="20"/>
          <w:szCs w:val="20"/>
        </w:rPr>
        <w:t xml:space="preserve">A description of the nature of the breach, including where possible the categories and approximate number of data subjects and personal data records concerned</w:t>
      </w:r>
    </w:p>
    <w:p>
      <w:pPr>
        <w:pStyle w:val="ListParagraph"/>
        <w:numPr>
          <w:ilvl w:val="0"/>
          <w:numId w:val="2"/>
        </w:numPr>
        <w:spacing w:after="60"/>
      </w:pPr>
      <w:r>
        <w:rPr>
          <w:rFonts w:ascii="Arial" w:cs="Arial" w:eastAsia="Arial" w:hAnsi="Arial"/>
          <w:color w:val="2C2C34"/>
          <w:sz w:val="20"/>
          <w:szCs w:val="20"/>
        </w:rPr>
        <w:t xml:space="preserve">The name and contact details of the data protection officer or other contact point</w:t>
      </w:r>
    </w:p>
    <w:p>
      <w:pPr>
        <w:pStyle w:val="ListParagraph"/>
        <w:numPr>
          <w:ilvl w:val="0"/>
          <w:numId w:val="2"/>
        </w:numPr>
        <w:spacing w:after="60"/>
      </w:pPr>
      <w:r>
        <w:rPr>
          <w:rFonts w:ascii="Arial" w:cs="Arial" w:eastAsia="Arial" w:hAnsi="Arial"/>
          <w:color w:val="2C2C34"/>
          <w:sz w:val="20"/>
          <w:szCs w:val="20"/>
        </w:rPr>
        <w:t xml:space="preserve">A description of the likely consequences of the breach</w:t>
      </w:r>
    </w:p>
    <w:p>
      <w:pPr>
        <w:pStyle w:val="ListParagraph"/>
        <w:numPr>
          <w:ilvl w:val="0"/>
          <w:numId w:val="2"/>
        </w:numPr>
        <w:spacing w:after="120"/>
      </w:pPr>
      <w:r>
        <w:rPr>
          <w:rFonts w:ascii="Arial" w:cs="Arial" w:eastAsia="Arial" w:hAnsi="Arial"/>
          <w:color w:val="2C2C34"/>
          <w:sz w:val="20"/>
          <w:szCs w:val="20"/>
        </w:rPr>
        <w:t xml:space="preserve">A description of the measures taken or proposed to address and mitigate the breach</w:t>
      </w:r>
    </w:p>
    <w:p>
      <w:pPr>
        <w:pStyle w:val="Heading1"/>
      </w:pPr>
      <w:r>
        <w:rPr>
          <w:rFonts w:ascii="Arial" w:cs="Arial" w:eastAsia="Arial" w:hAnsi="Arial"/>
          <w:color w:val="1A1F3D"/>
        </w:rPr>
        <w:t xml:space="preserve">Section 5 – Sub-Processors</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The Processor shall not engage any sub-processor without prior general written authorisation of the Controller (Article 28(2) GDPR). The sub-processors approved at the time of conclusion of this DPA are listed in Annex 3.</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The Processor shall inform the Controller of any intended changes concerning the addition or replacement of sub-processors at least 30 days in advance in text form. The Controller may object to the change within 14 days of receipt of the notification.</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If the Controller objects, the Processor shall be entitled to terminate the Main Agreement with 3 months’ notice to the end of a calendar month, provided no reasonable alternative exists.</w:t>
      </w:r>
    </w:p>
    <w:p>
      <w:pPr>
        <w:spacing w:after="120" w:line="276"/>
      </w:pPr>
      <w:r>
        <w:rPr>
          <w:rFonts w:ascii="Arial" w:cs="Arial" w:eastAsia="Arial" w:hAnsi="Arial"/>
          <w:b/>
          <w:bCs/>
          <w:color w:val="2C2C34"/>
          <w:sz w:val="20"/>
          <w:szCs w:val="20"/>
        </w:rPr>
        <w:t xml:space="preserve">(4) </w:t>
      </w:r>
      <w:r>
        <w:rPr>
          <w:rFonts w:ascii="Arial" w:cs="Arial" w:eastAsia="Arial" w:hAnsi="Arial"/>
          <w:color w:val="2C2C34"/>
          <w:sz w:val="20"/>
          <w:szCs w:val="20"/>
        </w:rPr>
        <w:t xml:space="preserve">The Processor shall contractually ensure that the obligations under this DPA are also imposed on the sub-processor (Article 28(4) GDPR). The Processor shall be liable to the Controller for compliance with data protection obligations by the sub-processor.</w:t>
      </w:r>
    </w:p>
    <w:p>
      <w:pPr>
        <w:pStyle w:val="Heading1"/>
      </w:pPr>
      <w:r>
        <w:rPr>
          <w:rFonts w:ascii="Arial" w:cs="Arial" w:eastAsia="Arial" w:hAnsi="Arial"/>
          <w:color w:val="1A1F3D"/>
        </w:rPr>
        <w:t xml:space="preserve">Section 6 – Transfers to Third Countries</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Any transfer of personal data to a third country or an international organisation shall only take place on documented instructions from the Controller, unless the Processor is required by Union or Member State law to make such a transfer.</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Where a transfer to a third country is necessary, the Processor shall ensure that an adequate level of protection is guaranteed in accordance with Articles 44 et seq. GDPR, in particular by means of:</w:t>
      </w:r>
    </w:p>
    <w:p>
      <w:pPr>
        <w:pStyle w:val="ListParagraph"/>
        <w:numPr>
          <w:ilvl w:val="0"/>
          <w:numId w:val="2"/>
        </w:numPr>
        <w:spacing w:after="60"/>
      </w:pPr>
      <w:r>
        <w:rPr>
          <w:rFonts w:ascii="Arial" w:cs="Arial" w:eastAsia="Arial" w:hAnsi="Arial"/>
          <w:color w:val="2C2C34"/>
          <w:sz w:val="20"/>
          <w:szCs w:val="20"/>
        </w:rPr>
        <w:t xml:space="preserve">An adequacy decision by the European Commission (Article 45 GDPR)</w:t>
      </w:r>
    </w:p>
    <w:p>
      <w:pPr>
        <w:pStyle w:val="ListParagraph"/>
        <w:numPr>
          <w:ilvl w:val="0"/>
          <w:numId w:val="2"/>
        </w:numPr>
        <w:spacing w:after="60"/>
      </w:pPr>
      <w:r>
        <w:rPr>
          <w:rFonts w:ascii="Arial" w:cs="Arial" w:eastAsia="Arial" w:hAnsi="Arial"/>
          <w:color w:val="2C2C34"/>
          <w:sz w:val="20"/>
          <w:szCs w:val="20"/>
        </w:rPr>
        <w:t xml:space="preserve">Standard Contractual Clauses (Article 46(2)(c) GDPR)</w:t>
      </w:r>
    </w:p>
    <w:p>
      <w:pPr>
        <w:pStyle w:val="ListParagraph"/>
        <w:numPr>
          <w:ilvl w:val="0"/>
          <w:numId w:val="2"/>
        </w:numPr>
        <w:spacing w:after="120"/>
      </w:pPr>
      <w:r>
        <w:rPr>
          <w:rFonts w:ascii="Arial" w:cs="Arial" w:eastAsia="Arial" w:hAnsi="Arial"/>
          <w:color w:val="2C2C34"/>
          <w:sz w:val="20"/>
          <w:szCs w:val="20"/>
        </w:rPr>
        <w:t xml:space="preserve">Binding Corporate Rules (Article 47 GDPR)</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The Processor shall conduct a Transfer Impact Assessment (TIA) for third-country transfers and document supplementary safeguards in accordance with the EDPB Recommendations 01/2020.</w:t>
      </w:r>
    </w:p>
    <w:p>
      <w:pPr>
        <w:pStyle w:val="Heading1"/>
      </w:pPr>
      <w:r>
        <w:rPr>
          <w:rFonts w:ascii="Arial" w:cs="Arial" w:eastAsia="Arial" w:hAnsi="Arial"/>
          <w:color w:val="1A1F3D"/>
        </w:rPr>
        <w:t xml:space="preserve">Section 7 – Audit Rights of the Controller</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The Controller shall have the right to verify compliance with this DPA and applicable data protection legislation at the Processor’s premises (Article 28(3)(h) GDPR). This may include:</w:t>
      </w:r>
    </w:p>
    <w:p>
      <w:pPr>
        <w:pStyle w:val="ListParagraph"/>
        <w:numPr>
          <w:ilvl w:val="0"/>
          <w:numId w:val="2"/>
        </w:numPr>
        <w:spacing w:after="60"/>
      </w:pPr>
      <w:r>
        <w:rPr>
          <w:rFonts w:ascii="Arial" w:cs="Arial" w:eastAsia="Arial" w:hAnsi="Arial"/>
          <w:color w:val="2C2C34"/>
          <w:sz w:val="20"/>
          <w:szCs w:val="20"/>
        </w:rPr>
        <w:t xml:space="preserve">Obtaining information and evidence</w:t>
      </w:r>
    </w:p>
    <w:p>
      <w:pPr>
        <w:pStyle w:val="ListParagraph"/>
        <w:numPr>
          <w:ilvl w:val="0"/>
          <w:numId w:val="2"/>
        </w:numPr>
        <w:spacing w:after="60"/>
      </w:pPr>
      <w:r>
        <w:rPr>
          <w:rFonts w:ascii="Arial" w:cs="Arial" w:eastAsia="Arial" w:hAnsi="Arial"/>
          <w:color w:val="2C2C34"/>
          <w:sz w:val="20"/>
          <w:szCs w:val="20"/>
        </w:rPr>
        <w:t xml:space="preserve">On-site inspections with at least 14 days’ prior notice</w:t>
      </w:r>
    </w:p>
    <w:p>
      <w:pPr>
        <w:pStyle w:val="ListParagraph"/>
        <w:numPr>
          <w:ilvl w:val="0"/>
          <w:numId w:val="2"/>
        </w:numPr>
        <w:spacing w:after="120"/>
      </w:pPr>
      <w:r>
        <w:rPr>
          <w:rFonts w:ascii="Arial" w:cs="Arial" w:eastAsia="Arial" w:hAnsi="Arial"/>
          <w:color w:val="2C2C34"/>
          <w:sz w:val="20"/>
          <w:szCs w:val="20"/>
        </w:rPr>
        <w:t xml:space="preserve">Audits by third parties commissioned by the Controller, subject to confidentiality obligations</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The Processor shall make available to the Controller all information necessary to demonstrate compliance with the obligations laid down in Article 28 GDPR and shall allow for and contribute to audits, including inspections.</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Alternatively, the Processor may provide the Controller with a current certificate, audit report, or extract thereof from an independent third party (e.g., SOC 2 Type II, ISO 27001).</w:t>
      </w:r>
    </w:p>
    <w:p>
      <w:pPr>
        <w:pStyle w:val="Heading1"/>
      </w:pPr>
      <w:r>
        <w:rPr>
          <w:rFonts w:ascii="Arial" w:cs="Arial" w:eastAsia="Arial" w:hAnsi="Arial"/>
          <w:color w:val="1A1F3D"/>
        </w:rPr>
        <w:t xml:space="preserve">Section 8 – Confidentiality</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The Processor shall ensure that all persons with access to personal data have committed themselves to confidentiality and have received appropriate data protection training.</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The obligation of confidentiality shall survive the termination of this DPA.</w:t>
      </w:r>
    </w:p>
    <w:p>
      <w:pPr>
        <w:pStyle w:val="Heading1"/>
      </w:pPr>
      <w:r>
        <w:rPr>
          <w:rFonts w:ascii="Arial" w:cs="Arial" w:eastAsia="Arial" w:hAnsi="Arial"/>
          <w:color w:val="1A1F3D"/>
        </w:rPr>
        <w:t xml:space="preserve">Section 9 – Data Protection Officer</w:t>
      </w:r>
    </w:p>
    <w:p>
      <w:pPr>
        <w:spacing w:after="120" w:line="276"/>
      </w:pPr>
      <w:r>
        <w:rPr>
          <w:rFonts w:ascii="Arial" w:cs="Arial" w:eastAsia="Arial" w:hAnsi="Arial"/>
          <w:color w:val="2C2C34"/>
          <w:sz w:val="20"/>
          <w:szCs w:val="20"/>
        </w:rPr>
        <w:t xml:space="preserve">The Processor’s Data Protection Officer can be reached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4E2DC" w:sz="1"/>
              <w:left w:val="single" w:color="E4E2DC" w:sz="1"/>
              <w:bottom w:val="single" w:color="E4E2DC" w:sz="1"/>
              <w:right w:val="single" w:color="E4E2DC" w:sz="1"/>
            </w:tcBorders>
            <w:shd w:fill="F5F3EE" w:val="clear"/>
            <w:tcMar>
              <w:top w:type="dxa" w:w="80"/>
              <w:left w:type="dxa" w:w="120"/>
              <w:bottom w:type="dxa" w:w="80"/>
              <w:right w:type="dxa" w:w="120"/>
            </w:tcMar>
          </w:tcPr>
          <w:p>
            <w:r>
              <w:rPr>
                <w:rFonts w:ascii="Arial" w:cs="Arial" w:eastAsia="Arial" w:hAnsi="Arial"/>
                <w:b/>
                <w:bCs/>
                <w:color w:val="2C2C34"/>
                <w:sz w:val="18"/>
                <w:szCs w:val="18"/>
              </w:rPr>
              <w:t xml:space="preserve">Company</w:t>
            </w:r>
          </w:p>
        </w:tc>
        <w:tc>
          <w:tcPr>
            <w:tcW w:type="dxa" w:w="65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Fintery Ltd.</w:t>
            </w:r>
          </w:p>
        </w:tc>
      </w:tr>
      <w:tr>
        <w:tc>
          <w:tcPr>
            <w:tcW w:type="dxa" w:w="2500"/>
            <w:tcBorders>
              <w:top w:val="single" w:color="E4E2DC" w:sz="1"/>
              <w:left w:val="single" w:color="E4E2DC" w:sz="1"/>
              <w:bottom w:val="single" w:color="E4E2DC" w:sz="1"/>
              <w:right w:val="single" w:color="E4E2DC" w:sz="1"/>
            </w:tcBorders>
            <w:shd w:fill="F5F3EE" w:val="clear"/>
            <w:tcMar>
              <w:top w:type="dxa" w:w="80"/>
              <w:left w:type="dxa" w:w="120"/>
              <w:bottom w:type="dxa" w:w="80"/>
              <w:right w:type="dxa" w:w="120"/>
            </w:tcMar>
          </w:tcPr>
          <w:p>
            <w:r>
              <w:rPr>
                <w:rFonts w:ascii="Arial" w:cs="Arial" w:eastAsia="Arial" w:hAnsi="Arial"/>
                <w:b/>
                <w:bCs/>
                <w:color w:val="2C2C34"/>
                <w:sz w:val="18"/>
                <w:szCs w:val="18"/>
              </w:rPr>
              <w:t xml:space="preserve">Email</w:t>
            </w:r>
          </w:p>
        </w:tc>
        <w:tc>
          <w:tcPr>
            <w:tcW w:type="dxa" w:w="65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privacy@tako.software</w:t>
            </w:r>
          </w:p>
        </w:tc>
      </w:tr>
    </w:tbl>
    <w:p>
      <w:pPr>
        <w:spacing w:after="120" w:line="276"/>
      </w:pPr>
      <w:r>
        <w:rPr>
          <w:rFonts w:ascii="Arial" w:cs="Arial" w:eastAsia="Arial" w:hAnsi="Arial"/>
          <w:color w:val="2C2C34"/>
          <w:sz w:val="20"/>
          <w:szCs w:val="20"/>
        </w:rPr>
        <w:t xml:space="preserve"/>
      </w:r>
    </w:p>
    <w:p>
      <w:pPr>
        <w:pStyle w:val="Heading1"/>
      </w:pPr>
      <w:r>
        <w:rPr>
          <w:rFonts w:ascii="Arial" w:cs="Arial" w:eastAsia="Arial" w:hAnsi="Arial"/>
          <w:color w:val="1A1F3D"/>
        </w:rPr>
        <w:t xml:space="preserve">Section 10 – Deletion and Return of Data</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Upon termination of the Main Agreement, the Processor shall delete all personal data processed on behalf of the Controller, unless a statutory retention obligation applies (Article 28(3)(g) GDPR).</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Prior to deletion, the Controller may request the return of the data in a common, machine-readable format. The return shall be completed within 30 days of the request.</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Deletion shall take place no later than 90 days after termination of the Main Agreement. The Processor shall confirm complete deletion in text form.</w:t>
      </w:r>
    </w:p>
    <w:p>
      <w:pPr>
        <w:pStyle w:val="Heading1"/>
      </w:pPr>
      <w:r>
        <w:rPr>
          <w:rFonts w:ascii="Arial" w:cs="Arial" w:eastAsia="Arial" w:hAnsi="Arial"/>
          <w:color w:val="1A1F3D"/>
        </w:rPr>
        <w:t xml:space="preserve">Section 11 – Liability</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The liability of the Parties shall be governed by Article 82 GDPR and applicable statutory provisions.</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The Processor shall be liable to the Controller for damages caused by processing that does not comply with the GDPR or by acting contrary to the lawful instructions of the Controller.</w:t>
      </w:r>
    </w:p>
    <w:p>
      <w:pPr>
        <w:pStyle w:val="Heading1"/>
      </w:pPr>
      <w:r>
        <w:rPr>
          <w:rFonts w:ascii="Arial" w:cs="Arial" w:eastAsia="Arial" w:hAnsi="Arial"/>
          <w:color w:val="1A1F3D"/>
        </w:rPr>
        <w:t xml:space="preserve">Section 12 – Final Provisions</w:t>
      </w:r>
    </w:p>
    <w:p>
      <w:pPr>
        <w:spacing w:after="120" w:line="276"/>
      </w:pPr>
      <w:r>
        <w:rPr>
          <w:rFonts w:ascii="Arial" w:cs="Arial" w:eastAsia="Arial" w:hAnsi="Arial"/>
          <w:b/>
          <w:bCs/>
          <w:color w:val="2C2C34"/>
          <w:sz w:val="20"/>
          <w:szCs w:val="20"/>
        </w:rPr>
        <w:t xml:space="preserve">(1) </w:t>
      </w:r>
      <w:r>
        <w:rPr>
          <w:rFonts w:ascii="Arial" w:cs="Arial" w:eastAsia="Arial" w:hAnsi="Arial"/>
          <w:color w:val="2C2C34"/>
          <w:sz w:val="20"/>
          <w:szCs w:val="20"/>
        </w:rPr>
        <w:t xml:space="preserve">Amendments and supplements to this DPA must be made in text form. This also applies to any waiver of this formal requirement.</w:t>
      </w:r>
    </w:p>
    <w:p>
      <w:pPr>
        <w:spacing w:after="120" w:line="276"/>
      </w:pPr>
      <w:r>
        <w:rPr>
          <w:rFonts w:ascii="Arial" w:cs="Arial" w:eastAsia="Arial" w:hAnsi="Arial"/>
          <w:b/>
          <w:bCs/>
          <w:color w:val="2C2C34"/>
          <w:sz w:val="20"/>
          <w:szCs w:val="20"/>
        </w:rPr>
        <w:t xml:space="preserve">(2) </w:t>
      </w:r>
      <w:r>
        <w:rPr>
          <w:rFonts w:ascii="Arial" w:cs="Arial" w:eastAsia="Arial" w:hAnsi="Arial"/>
          <w:color w:val="2C2C34"/>
          <w:sz w:val="20"/>
          <w:szCs w:val="20"/>
        </w:rPr>
        <w:t xml:space="preserve">Should any provision of this DPA be or become invalid, the validity of the remaining provisions shall remain unaffected. The Parties undertake to replace the invalid provision with an effective provision that most closely achieves the economic purpose of the invalid provision.</w:t>
      </w:r>
    </w:p>
    <w:p>
      <w:pPr>
        <w:spacing w:after="120" w:line="276"/>
      </w:pPr>
      <w:r>
        <w:rPr>
          <w:rFonts w:ascii="Arial" w:cs="Arial" w:eastAsia="Arial" w:hAnsi="Arial"/>
          <w:b/>
          <w:bCs/>
          <w:color w:val="2C2C34"/>
          <w:sz w:val="20"/>
          <w:szCs w:val="20"/>
        </w:rPr>
        <w:t xml:space="preserve">(3) </w:t>
      </w:r>
      <w:r>
        <w:rPr>
          <w:rFonts w:ascii="Arial" w:cs="Arial" w:eastAsia="Arial" w:hAnsi="Arial"/>
          <w:color w:val="2C2C34"/>
          <w:sz w:val="20"/>
          <w:szCs w:val="20"/>
        </w:rPr>
        <w:t xml:space="preserve">This DPA shall be governed by the laws of the Federal Republic of Germany. The courts at the Processor’s registered office shall have jurisdiction, to the extent permitted by law.</w:t>
      </w:r>
    </w:p>
    <w:p>
      <w:r>
        <w:br w:type="page"/>
      </w:r>
    </w:p>
    <w:p>
      <w:pPr>
        <w:pStyle w:val="Heading1"/>
      </w:pPr>
      <w:r>
        <w:rPr>
          <w:rFonts w:ascii="Arial" w:cs="Arial" w:eastAsia="Arial" w:hAnsi="Arial"/>
          <w:color w:val="1A1F3D"/>
        </w:rPr>
        <w:t xml:space="preserve">Signatures</w:t>
      </w:r>
    </w:p>
    <w:p>
      <w:pPr>
        <w:spacing w:after="120" w:line="276"/>
      </w:pPr>
      <w:r>
        <w:rPr>
          <w:rFonts w:ascii="Arial" w:cs="Arial" w:eastAsia="Arial" w:hAnsi="Arial"/>
          <w:color w:val="2C2C34"/>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sz="0"/>
              <w:left w:val="none" w:sz="0"/>
              <w:bottom w:val="none" w:sz="0"/>
              <w:right w:val="none" w:sz="0"/>
            </w:tcBorders>
            <w:tcMar>
              <w:top w:type="dxa" w:w="80"/>
              <w:left w:type="dxa" w:w="120"/>
              <w:bottom w:type="dxa" w:w="80"/>
              <w:right w:type="dxa" w:w="120"/>
            </w:tcMar>
          </w:tcPr>
          <w:p>
            <w:pPr>
              <w:spacing w:after="40"/>
            </w:pPr>
            <w:r>
              <w:rPr>
                <w:rFonts w:ascii="Arial" w:cs="Arial" w:eastAsia="Arial" w:hAnsi="Arial"/>
                <w:b/>
                <w:bCs/>
                <w:color w:val="1A1F3D"/>
                <w:sz w:val="20"/>
                <w:szCs w:val="20"/>
              </w:rPr>
              <w:t xml:space="preserve">Controller:</w:t>
            </w:r>
          </w:p>
        </w:tc>
        <w:tc>
          <w:tcPr>
            <w:tcW w:type="dxa" w:w="4513"/>
            <w:tcBorders>
              <w:top w:val="none" w:sz="0"/>
              <w:left w:val="none" w:sz="0"/>
              <w:bottom w:val="none" w:sz="0"/>
              <w:right w:val="none" w:sz="0"/>
            </w:tcBorders>
            <w:tcMar>
              <w:top w:type="dxa" w:w="80"/>
              <w:left w:type="dxa" w:w="120"/>
              <w:bottom w:type="dxa" w:w="80"/>
              <w:right w:type="dxa" w:w="120"/>
            </w:tcMar>
          </w:tcPr>
          <w:p>
            <w:pPr>
              <w:spacing w:after="40"/>
            </w:pPr>
            <w:r>
              <w:rPr>
                <w:rFonts w:ascii="Arial" w:cs="Arial" w:eastAsia="Arial" w:hAnsi="Arial"/>
                <w:b/>
                <w:bCs/>
                <w:color w:val="1A1F3D"/>
                <w:sz w:val="20"/>
                <w:szCs w:val="20"/>
              </w:rPr>
              <w:t xml:space="preserve">Processor (Fintery Ltd.):</w:t>
            </w:r>
          </w:p>
        </w:tc>
      </w:tr>
      <w:tr>
        <w:tc>
          <w:tcPr>
            <w:tcW w:type="dxa" w:w="4513"/>
            <w:tcBorders>
              <w:top w:val="none" w:sz="0"/>
              <w:left w:val="none" w:sz="0"/>
              <w:bottom w:val="none" w:sz="0"/>
              <w:right w:val="none" w:sz="0"/>
            </w:tcBorders>
            <w:tcMar>
              <w:top w:type="dxa" w:w="80"/>
              <w:left w:type="dxa" w:w="120"/>
              <w:bottom w:type="dxa" w:w="80"/>
              <w:right w:type="dxa" w:w="120"/>
            </w:tcMar>
          </w:tcPr>
          <w:p>
            <w:pPr>
              <w:spacing w:after="120" w:line="276"/>
            </w:pPr>
            <w:r>
              <w:rPr>
                <w:rFonts w:ascii="Arial" w:cs="Arial" w:eastAsia="Arial" w:hAnsi="Arial"/>
                <w:color w:val="2C2C34"/>
                <w:sz w:val="20"/>
                <w:szCs w:val="20"/>
              </w:rPr>
              <w:t xml:space="preserve"/>
            </w:r>
          </w:p>
          <w:p>
            <w:pPr>
              <w:spacing w:after="120" w:line="276"/>
            </w:pPr>
            <w:r>
              <w:rPr>
                <w:rFonts w:ascii="Arial" w:cs="Arial" w:eastAsia="Arial" w:hAnsi="Arial"/>
                <w:color w:val="2C2C34"/>
                <w:sz w:val="20"/>
                <w:szCs w:val="20"/>
              </w:rPr>
              <w:t xml:space="preserve"/>
            </w:r>
          </w:p>
          <w:p>
            <w:pPr>
              <w:spacing w:after="120" w:line="276"/>
            </w:pPr>
            <w:r>
              <w:rPr>
                <w:rFonts w:ascii="Arial" w:cs="Arial" w:eastAsia="Arial" w:hAnsi="Arial"/>
                <w:color w:val="2C2C34"/>
                <w:sz w:val="20"/>
                <w:szCs w:val="20"/>
              </w:rPr>
              <w:t xml:space="preserve"/>
            </w:r>
          </w:p>
          <w:p>
            <w:pPr>
              <w:pBdr>
                <w:bottom w:val="single" w:color="2C2C34" w:sz="2" w:space="1"/>
              </w:pBdr>
            </w:pPr>
          </w:p>
          <w:p>
            <w:pPr>
              <w:spacing w:after="40"/>
            </w:pPr>
            <w:r>
              <w:rPr>
                <w:rFonts w:ascii="Arial" w:cs="Arial" w:eastAsia="Arial" w:hAnsi="Arial"/>
                <w:color w:val="8C8A94"/>
                <w:sz w:val="16"/>
                <w:szCs w:val="16"/>
              </w:rPr>
              <w:t xml:space="preserve">Place, Date, Signature</w:t>
            </w:r>
          </w:p>
        </w:tc>
        <w:tc>
          <w:tcPr>
            <w:tcW w:type="dxa" w:w="4513"/>
            <w:tcBorders>
              <w:top w:val="none" w:sz="0"/>
              <w:left w:val="none" w:sz="0"/>
              <w:bottom w:val="none" w:sz="0"/>
              <w:right w:val="none" w:sz="0"/>
            </w:tcBorders>
            <w:tcMar>
              <w:top w:type="dxa" w:w="80"/>
              <w:left w:type="dxa" w:w="120"/>
              <w:bottom w:type="dxa" w:w="80"/>
              <w:right w:type="dxa" w:w="120"/>
            </w:tcMar>
          </w:tcPr>
          <w:p>
            <w:pPr>
              <w:spacing w:after="120" w:line="276"/>
            </w:pPr>
            <w:r>
              <w:rPr>
                <w:rFonts w:ascii="Arial" w:cs="Arial" w:eastAsia="Arial" w:hAnsi="Arial"/>
                <w:color w:val="2C2C34"/>
                <w:sz w:val="20"/>
                <w:szCs w:val="20"/>
              </w:rPr>
              <w:t xml:space="preserve"/>
            </w:r>
          </w:p>
          <w:p>
            <w:pPr>
              <w:spacing w:after="120" w:line="276"/>
            </w:pPr>
            <w:r>
              <w:rPr>
                <w:rFonts w:ascii="Arial" w:cs="Arial" w:eastAsia="Arial" w:hAnsi="Arial"/>
                <w:color w:val="2C2C34"/>
                <w:sz w:val="20"/>
                <w:szCs w:val="20"/>
              </w:rPr>
              <w:t xml:space="preserve"/>
            </w:r>
          </w:p>
          <w:p>
            <w:pPr>
              <w:spacing w:after="120" w:line="276"/>
            </w:pPr>
            <w:r>
              <w:rPr>
                <w:rFonts w:ascii="Arial" w:cs="Arial" w:eastAsia="Arial" w:hAnsi="Arial"/>
                <w:color w:val="2C2C34"/>
                <w:sz w:val="20"/>
                <w:szCs w:val="20"/>
              </w:rPr>
              <w:t xml:space="preserve"/>
            </w:r>
          </w:p>
          <w:p>
            <w:pPr>
              <w:pBdr>
                <w:bottom w:val="single" w:color="2C2C34" w:sz="2" w:space="1"/>
              </w:pBdr>
            </w:pPr>
          </w:p>
          <w:p>
            <w:pPr>
              <w:spacing w:after="40"/>
            </w:pPr>
            <w:r>
              <w:rPr>
                <w:rFonts w:ascii="Arial" w:cs="Arial" w:eastAsia="Arial" w:hAnsi="Arial"/>
                <w:color w:val="8C8A94"/>
                <w:sz w:val="16"/>
                <w:szCs w:val="16"/>
              </w:rPr>
              <w:t xml:space="preserve">Place, Date, Signature</w:t>
            </w:r>
          </w:p>
        </w:tc>
      </w:tr>
    </w:tbl>
    <w:p>
      <w:r>
        <w:br w:type="page"/>
      </w:r>
    </w:p>
    <w:p>
      <w:pPr>
        <w:pStyle w:val="Heading1"/>
      </w:pPr>
      <w:r>
        <w:rPr>
          <w:rFonts w:ascii="Arial" w:cs="Arial" w:eastAsia="Arial" w:hAnsi="Arial"/>
          <w:color w:val="1A1F3D"/>
        </w:rPr>
        <w:t xml:space="preserve">Annex 1 – Subject Matter of Processing</w:t>
      </w:r>
    </w:p>
    <w:p>
      <w:pPr>
        <w:pStyle w:val="Heading2"/>
      </w:pPr>
      <w:r>
        <w:rPr>
          <w:rFonts w:ascii="Arial" w:cs="Arial" w:eastAsia="Arial" w:hAnsi="Arial"/>
          <w:color w:val="1A1F3D"/>
        </w:rPr>
        <w:t xml:space="preserve">1. Nature and Purpose of Processing</w:t>
      </w:r>
    </w:p>
    <w:p>
      <w:pPr>
        <w:spacing w:after="120" w:line="276"/>
      </w:pPr>
      <w:r>
        <w:rPr>
          <w:rFonts w:ascii="Arial" w:cs="Arial" w:eastAsia="Arial" w:hAnsi="Arial"/>
          <w:color w:val="2C2C34"/>
          <w:sz w:val="20"/>
          <w:szCs w:val="20"/>
        </w:rPr>
        <w:t xml:space="preserve">Provision and operation of the CRM software TAKO CRM as Software-as-a-Service (SaaS), including:</w:t>
      </w:r>
    </w:p>
    <w:p>
      <w:pPr>
        <w:pStyle w:val="ListParagraph"/>
        <w:numPr>
          <w:ilvl w:val="0"/>
          <w:numId w:val="2"/>
        </w:numPr>
        <w:spacing w:after="60"/>
      </w:pPr>
      <w:r>
        <w:rPr>
          <w:rFonts w:ascii="Arial" w:cs="Arial" w:eastAsia="Arial" w:hAnsi="Arial"/>
          <w:color w:val="2C2C34"/>
          <w:sz w:val="20"/>
          <w:szCs w:val="20"/>
        </w:rPr>
        <w:t xml:space="preserve">Storage and management of customer contact data</w:t>
      </w:r>
    </w:p>
    <w:p>
      <w:pPr>
        <w:pStyle w:val="ListParagraph"/>
        <w:numPr>
          <w:ilvl w:val="0"/>
          <w:numId w:val="2"/>
        </w:numPr>
        <w:spacing w:after="60"/>
      </w:pPr>
      <w:r>
        <w:rPr>
          <w:rFonts w:ascii="Arial" w:cs="Arial" w:eastAsia="Arial" w:hAnsi="Arial"/>
          <w:color w:val="2C2C34"/>
          <w:sz w:val="20"/>
          <w:szCs w:val="20"/>
        </w:rPr>
        <w:t xml:space="preserve">Management of sales pipelines, deals, and activities</w:t>
      </w:r>
    </w:p>
    <w:p>
      <w:pPr>
        <w:pStyle w:val="ListParagraph"/>
        <w:numPr>
          <w:ilvl w:val="0"/>
          <w:numId w:val="2"/>
        </w:numPr>
        <w:spacing w:after="60"/>
      </w:pPr>
      <w:r>
        <w:rPr>
          <w:rFonts w:ascii="Arial" w:cs="Arial" w:eastAsia="Arial" w:hAnsi="Arial"/>
          <w:color w:val="2C2C34"/>
          <w:sz w:val="20"/>
          <w:szCs w:val="20"/>
        </w:rPr>
        <w:t xml:space="preserve">AI-powered features (lead scoring, email drafting, call transcription)</w:t>
      </w:r>
    </w:p>
    <w:p>
      <w:pPr>
        <w:pStyle w:val="ListParagraph"/>
        <w:numPr>
          <w:ilvl w:val="0"/>
          <w:numId w:val="2"/>
        </w:numPr>
        <w:spacing w:after="60"/>
      </w:pPr>
      <w:r>
        <w:rPr>
          <w:rFonts w:ascii="Arial" w:cs="Arial" w:eastAsia="Arial" w:hAnsi="Arial"/>
          <w:color w:val="2C2C34"/>
          <w:sz w:val="20"/>
          <w:szCs w:val="20"/>
        </w:rPr>
        <w:t xml:space="preserve">Communication (email integration, calendar synchronisation)</w:t>
      </w:r>
    </w:p>
    <w:p>
      <w:pPr>
        <w:pStyle w:val="ListParagraph"/>
        <w:numPr>
          <w:ilvl w:val="0"/>
          <w:numId w:val="2"/>
        </w:numPr>
        <w:spacing w:after="120"/>
      </w:pPr>
      <w:r>
        <w:rPr>
          <w:rFonts w:ascii="Arial" w:cs="Arial" w:eastAsia="Arial" w:hAnsi="Arial"/>
          <w:color w:val="2C2C34"/>
          <w:sz w:val="20"/>
          <w:szCs w:val="20"/>
        </w:rPr>
        <w:t xml:space="preserve">Analytics and reporting</w:t>
      </w:r>
    </w:p>
    <w:p>
      <w:pPr>
        <w:pStyle w:val="Heading2"/>
      </w:pPr>
      <w:r>
        <w:rPr>
          <w:rFonts w:ascii="Arial" w:cs="Arial" w:eastAsia="Arial" w:hAnsi="Arial"/>
          <w:color w:val="1A1F3D"/>
        </w:rPr>
        <w:t xml:space="preserve">2. Categories of Data Subjects</w:t>
      </w:r>
    </w:p>
    <w:p>
      <w:pPr>
        <w:pStyle w:val="ListParagraph"/>
        <w:numPr>
          <w:ilvl w:val="0"/>
          <w:numId w:val="2"/>
        </w:numPr>
        <w:spacing w:after="60"/>
      </w:pPr>
      <w:r>
        <w:rPr>
          <w:rFonts w:ascii="Arial" w:cs="Arial" w:eastAsia="Arial" w:hAnsi="Arial"/>
          <w:color w:val="2C2C34"/>
          <w:sz w:val="20"/>
          <w:szCs w:val="20"/>
        </w:rPr>
        <w:t xml:space="preserve">Customers and prospects (leads) of the Controller</w:t>
      </w:r>
    </w:p>
    <w:p>
      <w:pPr>
        <w:pStyle w:val="ListParagraph"/>
        <w:numPr>
          <w:ilvl w:val="0"/>
          <w:numId w:val="2"/>
        </w:numPr>
        <w:spacing w:after="60"/>
      </w:pPr>
      <w:r>
        <w:rPr>
          <w:rFonts w:ascii="Arial" w:cs="Arial" w:eastAsia="Arial" w:hAnsi="Arial"/>
          <w:color w:val="2C2C34"/>
          <w:sz w:val="20"/>
          <w:szCs w:val="20"/>
        </w:rPr>
        <w:t xml:space="preserve">Contact persons at business partners of the Controller</w:t>
      </w:r>
    </w:p>
    <w:p>
      <w:pPr>
        <w:pStyle w:val="ListParagraph"/>
        <w:numPr>
          <w:ilvl w:val="0"/>
          <w:numId w:val="2"/>
        </w:numPr>
        <w:spacing w:after="120"/>
      </w:pPr>
      <w:r>
        <w:rPr>
          <w:rFonts w:ascii="Arial" w:cs="Arial" w:eastAsia="Arial" w:hAnsi="Arial"/>
          <w:color w:val="2C2C34"/>
          <w:sz w:val="20"/>
          <w:szCs w:val="20"/>
        </w:rPr>
        <w:t xml:space="preserve">Employees and users of the Controller</w:t>
      </w:r>
    </w:p>
    <w:p>
      <w:pPr>
        <w:pStyle w:val="Heading2"/>
      </w:pPr>
      <w:r>
        <w:rPr>
          <w:rFonts w:ascii="Arial" w:cs="Arial" w:eastAsia="Arial" w:hAnsi="Arial"/>
          <w:color w:val="1A1F3D"/>
        </w:rPr>
        <w:t xml:space="preserve">3. Types of Personal Data</w:t>
      </w:r>
    </w:p>
    <w:p>
      <w:pPr>
        <w:pStyle w:val="ListParagraph"/>
        <w:numPr>
          <w:ilvl w:val="0"/>
          <w:numId w:val="2"/>
        </w:numPr>
        <w:spacing w:after="60"/>
      </w:pPr>
      <w:r>
        <w:rPr>
          <w:rFonts w:ascii="Arial" w:cs="Arial" w:eastAsia="Arial" w:hAnsi="Arial"/>
          <w:color w:val="2C2C34"/>
          <w:sz w:val="20"/>
          <w:szCs w:val="20"/>
        </w:rPr>
        <w:t xml:space="preserve">Master data (name, surname, title, company, position)</w:t>
      </w:r>
    </w:p>
    <w:p>
      <w:pPr>
        <w:pStyle w:val="ListParagraph"/>
        <w:numPr>
          <w:ilvl w:val="0"/>
          <w:numId w:val="2"/>
        </w:numPr>
        <w:spacing w:after="60"/>
      </w:pPr>
      <w:r>
        <w:rPr>
          <w:rFonts w:ascii="Arial" w:cs="Arial" w:eastAsia="Arial" w:hAnsi="Arial"/>
          <w:color w:val="2C2C34"/>
          <w:sz w:val="20"/>
          <w:szCs w:val="20"/>
        </w:rPr>
        <w:t xml:space="preserve">Contact data (email, telephone, address)</w:t>
      </w:r>
    </w:p>
    <w:p>
      <w:pPr>
        <w:pStyle w:val="ListParagraph"/>
        <w:numPr>
          <w:ilvl w:val="0"/>
          <w:numId w:val="2"/>
        </w:numPr>
        <w:spacing w:after="60"/>
      </w:pPr>
      <w:r>
        <w:rPr>
          <w:rFonts w:ascii="Arial" w:cs="Arial" w:eastAsia="Arial" w:hAnsi="Arial"/>
          <w:color w:val="2C2C34"/>
          <w:sz w:val="20"/>
          <w:szCs w:val="20"/>
        </w:rPr>
        <w:t xml:space="preserve">Communication data (email content, call notes, transcriptions)</w:t>
      </w:r>
    </w:p>
    <w:p>
      <w:pPr>
        <w:pStyle w:val="ListParagraph"/>
        <w:numPr>
          <w:ilvl w:val="0"/>
          <w:numId w:val="2"/>
        </w:numPr>
        <w:spacing w:after="60"/>
      </w:pPr>
      <w:r>
        <w:rPr>
          <w:rFonts w:ascii="Arial" w:cs="Arial" w:eastAsia="Arial" w:hAnsi="Arial"/>
          <w:color w:val="2C2C34"/>
          <w:sz w:val="20"/>
          <w:szCs w:val="20"/>
        </w:rPr>
        <w:t xml:space="preserve">Contract data (offers, deals, purchase history)</w:t>
      </w:r>
    </w:p>
    <w:p>
      <w:pPr>
        <w:pStyle w:val="ListParagraph"/>
        <w:numPr>
          <w:ilvl w:val="0"/>
          <w:numId w:val="2"/>
        </w:numPr>
        <w:spacing w:after="60"/>
      </w:pPr>
      <w:r>
        <w:rPr>
          <w:rFonts w:ascii="Arial" w:cs="Arial" w:eastAsia="Arial" w:hAnsi="Arial"/>
          <w:color w:val="2C2C34"/>
          <w:sz w:val="20"/>
          <w:szCs w:val="20"/>
        </w:rPr>
        <w:t xml:space="preserve">Usage data (login times, activity logs)</w:t>
      </w:r>
    </w:p>
    <w:p>
      <w:pPr>
        <w:pStyle w:val="ListParagraph"/>
        <w:numPr>
          <w:ilvl w:val="0"/>
          <w:numId w:val="2"/>
        </w:numPr>
        <w:spacing w:after="120"/>
      </w:pPr>
      <w:r>
        <w:rPr>
          <w:rFonts w:ascii="Arial" w:cs="Arial" w:eastAsia="Arial" w:hAnsi="Arial"/>
          <w:color w:val="2C2C34"/>
          <w:sz w:val="20"/>
          <w:szCs w:val="20"/>
        </w:rPr>
        <w:t xml:space="preserve">Special categories of personal data (Article 9 GDPR) are not processed unless independently entered into the system by the Controller.</w:t>
      </w:r>
    </w:p>
    <w:p>
      <w:r>
        <w:br w:type="page"/>
      </w:r>
    </w:p>
    <w:p>
      <w:pPr>
        <w:pStyle w:val="Heading1"/>
      </w:pPr>
      <w:r>
        <w:rPr>
          <w:rFonts w:ascii="Arial" w:cs="Arial" w:eastAsia="Arial" w:hAnsi="Arial"/>
          <w:color w:val="1A1F3D"/>
        </w:rPr>
        <w:t xml:space="preserve">Annex 2 – Technical and Organisational Measures (TOMs)</w:t>
      </w:r>
    </w:p>
    <w:p>
      <w:pPr>
        <w:spacing w:after="120" w:line="276"/>
      </w:pPr>
      <w:r>
        <w:rPr>
          <w:rFonts w:ascii="Arial" w:cs="Arial" w:eastAsia="Arial" w:hAnsi="Arial"/>
          <w:color w:val="2C2C34"/>
          <w:sz w:val="20"/>
          <w:szCs w:val="20"/>
        </w:rPr>
        <w:t xml:space="preserve">The Processor shall ensure the following technical and organisational measures pursuant to Article 32 GDPR:</w:t>
      </w:r>
    </w:p>
    <w:p>
      <w:pPr>
        <w:pStyle w:val="Heading2"/>
      </w:pPr>
      <w:r>
        <w:rPr>
          <w:rFonts w:ascii="Arial" w:cs="Arial" w:eastAsia="Arial" w:hAnsi="Arial"/>
          <w:color w:val="1A1F3D"/>
        </w:rPr>
        <w:t xml:space="preserve">1. Confidentiality (Article 32(1)(b) GDPR)</w:t>
      </w:r>
    </w:p>
    <w:p>
      <w:pPr>
        <w:spacing w:after="120" w:line="276"/>
      </w:pPr>
      <w:r>
        <w:rPr>
          <w:rFonts w:ascii="Arial" w:cs="Arial" w:eastAsia="Arial" w:hAnsi="Arial"/>
          <w:b/>
          <w:bCs/>
          <w:color w:val="2C2C34"/>
          <w:sz w:val="20"/>
          <w:szCs w:val="20"/>
        </w:rPr>
        <w:t xml:space="preserve">Physical Access Control</w:t>
      </w:r>
    </w:p>
    <w:p>
      <w:pPr>
        <w:pStyle w:val="ListParagraph"/>
        <w:numPr>
          <w:ilvl w:val="0"/>
          <w:numId w:val="2"/>
        </w:numPr>
        <w:spacing w:after="60"/>
      </w:pPr>
      <w:r>
        <w:rPr>
          <w:rFonts w:ascii="Arial" w:cs="Arial" w:eastAsia="Arial" w:hAnsi="Arial"/>
          <w:color w:val="2C2C34"/>
          <w:sz w:val="20"/>
          <w:szCs w:val="20"/>
        </w:rPr>
        <w:t xml:space="preserve">Hosting in certified data centres within the EU (ISO 27001, SOC 2)</w:t>
      </w:r>
    </w:p>
    <w:p>
      <w:pPr>
        <w:pStyle w:val="ListParagraph"/>
        <w:numPr>
          <w:ilvl w:val="0"/>
          <w:numId w:val="2"/>
        </w:numPr>
        <w:spacing w:after="120"/>
      </w:pPr>
      <w:r>
        <w:rPr>
          <w:rFonts w:ascii="Arial" w:cs="Arial" w:eastAsia="Arial" w:hAnsi="Arial"/>
          <w:color w:val="2C2C34"/>
          <w:sz w:val="20"/>
          <w:szCs w:val="20"/>
        </w:rPr>
        <w:t xml:space="preserve">Physical access controls (biometrics, CCTV, security personnel)</w:t>
      </w:r>
    </w:p>
    <w:p>
      <w:pPr>
        <w:spacing w:after="120" w:line="276"/>
      </w:pPr>
      <w:r>
        <w:rPr>
          <w:rFonts w:ascii="Arial" w:cs="Arial" w:eastAsia="Arial" w:hAnsi="Arial"/>
          <w:b/>
          <w:bCs/>
          <w:color w:val="2C2C34"/>
          <w:sz w:val="20"/>
          <w:szCs w:val="20"/>
        </w:rPr>
        <w:t xml:space="preserve">System Access Control</w:t>
      </w:r>
    </w:p>
    <w:p>
      <w:pPr>
        <w:pStyle w:val="ListParagraph"/>
        <w:numPr>
          <w:ilvl w:val="0"/>
          <w:numId w:val="2"/>
        </w:numPr>
        <w:spacing w:after="60"/>
      </w:pPr>
      <w:r>
        <w:rPr>
          <w:rFonts w:ascii="Arial" w:cs="Arial" w:eastAsia="Arial" w:hAnsi="Arial"/>
          <w:color w:val="2C2C34"/>
          <w:sz w:val="20"/>
          <w:szCs w:val="20"/>
        </w:rPr>
        <w:t xml:space="preserve">Encryption of data in transit (TLS 1.2+) and at rest (AES-256)</w:t>
      </w:r>
    </w:p>
    <w:p>
      <w:pPr>
        <w:pStyle w:val="ListParagraph"/>
        <w:numPr>
          <w:ilvl w:val="0"/>
          <w:numId w:val="2"/>
        </w:numPr>
        <w:spacing w:after="60"/>
      </w:pPr>
      <w:r>
        <w:rPr>
          <w:rFonts w:ascii="Arial" w:cs="Arial" w:eastAsia="Arial" w:hAnsi="Arial"/>
          <w:color w:val="2C2C34"/>
          <w:sz w:val="20"/>
          <w:szCs w:val="20"/>
        </w:rPr>
        <w:t xml:space="preserve">Multi-factor authentication (MFA) for all administrative access</w:t>
      </w:r>
    </w:p>
    <w:p>
      <w:pPr>
        <w:pStyle w:val="ListParagraph"/>
        <w:numPr>
          <w:ilvl w:val="0"/>
          <w:numId w:val="2"/>
        </w:numPr>
        <w:spacing w:after="120"/>
      </w:pPr>
      <w:r>
        <w:rPr>
          <w:rFonts w:ascii="Arial" w:cs="Arial" w:eastAsia="Arial" w:hAnsi="Arial"/>
          <w:color w:val="2C2C34"/>
          <w:sz w:val="20"/>
          <w:szCs w:val="20"/>
        </w:rPr>
        <w:t xml:space="preserve">Password policies and automatic lockout after failed attempts</w:t>
      </w:r>
    </w:p>
    <w:p>
      <w:pPr>
        <w:spacing w:after="120" w:line="276"/>
      </w:pPr>
      <w:r>
        <w:rPr>
          <w:rFonts w:ascii="Arial" w:cs="Arial" w:eastAsia="Arial" w:hAnsi="Arial"/>
          <w:b/>
          <w:bCs/>
          <w:color w:val="2C2C34"/>
          <w:sz w:val="20"/>
          <w:szCs w:val="20"/>
        </w:rPr>
        <w:t xml:space="preserve">Data Access Control</w:t>
      </w:r>
    </w:p>
    <w:p>
      <w:pPr>
        <w:pStyle w:val="ListParagraph"/>
        <w:numPr>
          <w:ilvl w:val="0"/>
          <w:numId w:val="2"/>
        </w:numPr>
        <w:spacing w:after="60"/>
      </w:pPr>
      <w:r>
        <w:rPr>
          <w:rFonts w:ascii="Arial" w:cs="Arial" w:eastAsia="Arial" w:hAnsi="Arial"/>
          <w:color w:val="2C2C34"/>
          <w:sz w:val="20"/>
          <w:szCs w:val="20"/>
        </w:rPr>
        <w:t xml:space="preserve">Role-based access control (RBAC)</w:t>
      </w:r>
    </w:p>
    <w:p>
      <w:pPr>
        <w:pStyle w:val="ListParagraph"/>
        <w:numPr>
          <w:ilvl w:val="0"/>
          <w:numId w:val="2"/>
        </w:numPr>
        <w:spacing w:after="60"/>
      </w:pPr>
      <w:r>
        <w:rPr>
          <w:rFonts w:ascii="Arial" w:cs="Arial" w:eastAsia="Arial" w:hAnsi="Arial"/>
          <w:color w:val="2C2C34"/>
          <w:sz w:val="20"/>
          <w:szCs w:val="20"/>
        </w:rPr>
        <w:t xml:space="preserve">Logging of all access and changes (audit logs)</w:t>
      </w:r>
    </w:p>
    <w:p>
      <w:pPr>
        <w:pStyle w:val="ListParagraph"/>
        <w:numPr>
          <w:ilvl w:val="0"/>
          <w:numId w:val="2"/>
        </w:numPr>
        <w:spacing w:after="120"/>
      </w:pPr>
      <w:r>
        <w:rPr>
          <w:rFonts w:ascii="Arial" w:cs="Arial" w:eastAsia="Arial" w:hAnsi="Arial"/>
          <w:color w:val="2C2C34"/>
          <w:sz w:val="20"/>
          <w:szCs w:val="20"/>
        </w:rPr>
        <w:t xml:space="preserve">Principle of least privilege</w:t>
      </w:r>
    </w:p>
    <w:p>
      <w:pPr>
        <w:spacing w:after="120" w:line="276"/>
      </w:pPr>
      <w:r>
        <w:rPr>
          <w:rFonts w:ascii="Arial" w:cs="Arial" w:eastAsia="Arial" w:hAnsi="Arial"/>
          <w:b/>
          <w:bCs/>
          <w:color w:val="2C2C34"/>
          <w:sz w:val="20"/>
          <w:szCs w:val="20"/>
        </w:rPr>
        <w:t xml:space="preserve">Separation Control</w:t>
      </w:r>
    </w:p>
    <w:p>
      <w:pPr>
        <w:pStyle w:val="ListParagraph"/>
        <w:numPr>
          <w:ilvl w:val="0"/>
          <w:numId w:val="2"/>
        </w:numPr>
        <w:spacing w:after="120"/>
      </w:pPr>
      <w:r>
        <w:rPr>
          <w:rFonts w:ascii="Arial" w:cs="Arial" w:eastAsia="Arial" w:hAnsi="Arial"/>
          <w:color w:val="2C2C34"/>
          <w:sz w:val="20"/>
          <w:szCs w:val="20"/>
        </w:rPr>
        <w:t xml:space="preserve">Multi-tenant architecture with logical data separation per Controller</w:t>
      </w:r>
    </w:p>
    <w:p>
      <w:pPr>
        <w:pStyle w:val="Heading2"/>
      </w:pPr>
      <w:r>
        <w:rPr>
          <w:rFonts w:ascii="Arial" w:cs="Arial" w:eastAsia="Arial" w:hAnsi="Arial"/>
          <w:color w:val="1A1F3D"/>
        </w:rPr>
        <w:t xml:space="preserve">2. Integrity (Article 32(1)(b) GDPR)</w:t>
      </w:r>
    </w:p>
    <w:p>
      <w:pPr>
        <w:spacing w:after="120" w:line="276"/>
      </w:pPr>
      <w:r>
        <w:rPr>
          <w:rFonts w:ascii="Arial" w:cs="Arial" w:eastAsia="Arial" w:hAnsi="Arial"/>
          <w:b/>
          <w:bCs/>
          <w:color w:val="2C2C34"/>
          <w:sz w:val="20"/>
          <w:szCs w:val="20"/>
        </w:rPr>
        <w:t xml:space="preserve">Transfer Control</w:t>
      </w:r>
    </w:p>
    <w:p>
      <w:pPr>
        <w:pStyle w:val="ListParagraph"/>
        <w:numPr>
          <w:ilvl w:val="0"/>
          <w:numId w:val="2"/>
        </w:numPr>
        <w:spacing w:after="60"/>
      </w:pPr>
      <w:r>
        <w:rPr>
          <w:rFonts w:ascii="Arial" w:cs="Arial" w:eastAsia="Arial" w:hAnsi="Arial"/>
          <w:color w:val="2C2C34"/>
          <w:sz w:val="20"/>
          <w:szCs w:val="20"/>
        </w:rPr>
        <w:t xml:space="preserve">Encryption of all data transmissions</w:t>
      </w:r>
    </w:p>
    <w:p>
      <w:pPr>
        <w:pStyle w:val="ListParagraph"/>
        <w:numPr>
          <w:ilvl w:val="0"/>
          <w:numId w:val="2"/>
        </w:numPr>
        <w:spacing w:after="120"/>
      </w:pPr>
      <w:r>
        <w:rPr>
          <w:rFonts w:ascii="Arial" w:cs="Arial" w:eastAsia="Arial" w:hAnsi="Arial"/>
          <w:color w:val="2C2C34"/>
          <w:sz w:val="20"/>
          <w:szCs w:val="20"/>
        </w:rPr>
        <w:t xml:space="preserve">Documentation of all data transfers</w:t>
      </w:r>
    </w:p>
    <w:p>
      <w:pPr>
        <w:spacing w:after="120" w:line="276"/>
      </w:pPr>
      <w:r>
        <w:rPr>
          <w:rFonts w:ascii="Arial" w:cs="Arial" w:eastAsia="Arial" w:hAnsi="Arial"/>
          <w:b/>
          <w:bCs/>
          <w:color w:val="2C2C34"/>
          <w:sz w:val="20"/>
          <w:szCs w:val="20"/>
        </w:rPr>
        <w:t xml:space="preserve">Input Control</w:t>
      </w:r>
    </w:p>
    <w:p>
      <w:pPr>
        <w:pStyle w:val="ListParagraph"/>
        <w:numPr>
          <w:ilvl w:val="0"/>
          <w:numId w:val="2"/>
        </w:numPr>
        <w:spacing w:after="120"/>
      </w:pPr>
      <w:r>
        <w:rPr>
          <w:rFonts w:ascii="Arial" w:cs="Arial" w:eastAsia="Arial" w:hAnsi="Arial"/>
          <w:color w:val="2C2C34"/>
          <w:sz w:val="20"/>
          <w:szCs w:val="20"/>
        </w:rPr>
        <w:t xml:space="preserve">Complete logging of data entry, modification, and deletion</w:t>
      </w:r>
    </w:p>
    <w:p>
      <w:pPr>
        <w:pStyle w:val="Heading2"/>
      </w:pPr>
      <w:r>
        <w:rPr>
          <w:rFonts w:ascii="Arial" w:cs="Arial" w:eastAsia="Arial" w:hAnsi="Arial"/>
          <w:color w:val="1A1F3D"/>
        </w:rPr>
        <w:t xml:space="preserve">3. Availability and Resilience (Article 32(1)(b), (c) GDPR)</w:t>
      </w:r>
    </w:p>
    <w:p>
      <w:pPr>
        <w:pStyle w:val="ListParagraph"/>
        <w:numPr>
          <w:ilvl w:val="0"/>
          <w:numId w:val="2"/>
        </w:numPr>
        <w:spacing w:after="60"/>
      </w:pPr>
      <w:r>
        <w:rPr>
          <w:rFonts w:ascii="Arial" w:cs="Arial" w:eastAsia="Arial" w:hAnsi="Arial"/>
          <w:color w:val="2C2C34"/>
          <w:sz w:val="20"/>
          <w:szCs w:val="20"/>
        </w:rPr>
        <w:t xml:space="preserve">Redundant infrastructure and automatic failover</w:t>
      </w:r>
    </w:p>
    <w:p>
      <w:pPr>
        <w:pStyle w:val="ListParagraph"/>
        <w:numPr>
          <w:ilvl w:val="0"/>
          <w:numId w:val="2"/>
        </w:numPr>
        <w:spacing w:after="60"/>
      </w:pPr>
      <w:r>
        <w:rPr>
          <w:rFonts w:ascii="Arial" w:cs="Arial" w:eastAsia="Arial" w:hAnsi="Arial"/>
          <w:color w:val="2C2C34"/>
          <w:sz w:val="20"/>
          <w:szCs w:val="20"/>
        </w:rPr>
        <w:t xml:space="preserve">Daily backups with encrypted storage and regular restore tests</w:t>
      </w:r>
    </w:p>
    <w:p>
      <w:pPr>
        <w:pStyle w:val="ListParagraph"/>
        <w:numPr>
          <w:ilvl w:val="0"/>
          <w:numId w:val="2"/>
        </w:numPr>
        <w:spacing w:after="60"/>
      </w:pPr>
      <w:r>
        <w:rPr>
          <w:rFonts w:ascii="Arial" w:cs="Arial" w:eastAsia="Arial" w:hAnsi="Arial"/>
          <w:color w:val="2C2C34"/>
          <w:sz w:val="20"/>
          <w:szCs w:val="20"/>
        </w:rPr>
        <w:t xml:space="preserve">DDoS protection and firewall systems</w:t>
      </w:r>
    </w:p>
    <w:p>
      <w:pPr>
        <w:pStyle w:val="ListParagraph"/>
        <w:numPr>
          <w:ilvl w:val="0"/>
          <w:numId w:val="2"/>
        </w:numPr>
        <w:spacing w:after="120"/>
      </w:pPr>
      <w:r>
        <w:rPr>
          <w:rFonts w:ascii="Arial" w:cs="Arial" w:eastAsia="Arial" w:hAnsi="Arial"/>
          <w:color w:val="2C2C34"/>
          <w:sz w:val="20"/>
          <w:szCs w:val="20"/>
        </w:rPr>
        <w:t xml:space="preserve">Emergency plan and disaster recovery concept</w:t>
      </w:r>
    </w:p>
    <w:p>
      <w:pPr>
        <w:pStyle w:val="Heading2"/>
      </w:pPr>
      <w:r>
        <w:rPr>
          <w:rFonts w:ascii="Arial" w:cs="Arial" w:eastAsia="Arial" w:hAnsi="Arial"/>
          <w:color w:val="1A1F3D"/>
        </w:rPr>
        <w:t xml:space="preserve">4. Process for Regular Review (Article 32(1)(d) GDPR)</w:t>
      </w:r>
    </w:p>
    <w:p>
      <w:pPr>
        <w:pStyle w:val="ListParagraph"/>
        <w:numPr>
          <w:ilvl w:val="0"/>
          <w:numId w:val="2"/>
        </w:numPr>
        <w:spacing w:after="60"/>
      </w:pPr>
      <w:r>
        <w:rPr>
          <w:rFonts w:ascii="Arial" w:cs="Arial" w:eastAsia="Arial" w:hAnsi="Arial"/>
          <w:color w:val="2C2C34"/>
          <w:sz w:val="20"/>
          <w:szCs w:val="20"/>
        </w:rPr>
        <w:t xml:space="preserve">Regular penetration tests and vulnerability scans</w:t>
      </w:r>
    </w:p>
    <w:p>
      <w:pPr>
        <w:pStyle w:val="ListParagraph"/>
        <w:numPr>
          <w:ilvl w:val="0"/>
          <w:numId w:val="2"/>
        </w:numPr>
        <w:spacing w:after="60"/>
      </w:pPr>
      <w:r>
        <w:rPr>
          <w:rFonts w:ascii="Arial" w:cs="Arial" w:eastAsia="Arial" w:hAnsi="Arial"/>
          <w:color w:val="2C2C34"/>
          <w:sz w:val="20"/>
          <w:szCs w:val="20"/>
        </w:rPr>
        <w:t xml:space="preserve">Annual internal audits of the data protection and IT security concept</w:t>
      </w:r>
    </w:p>
    <w:p>
      <w:pPr>
        <w:pStyle w:val="ListParagraph"/>
        <w:numPr>
          <w:ilvl w:val="0"/>
          <w:numId w:val="2"/>
        </w:numPr>
        <w:spacing w:after="60"/>
      </w:pPr>
      <w:r>
        <w:rPr>
          <w:rFonts w:ascii="Arial" w:cs="Arial" w:eastAsia="Arial" w:hAnsi="Arial"/>
          <w:color w:val="2C2C34"/>
          <w:sz w:val="20"/>
          <w:szCs w:val="20"/>
        </w:rPr>
        <w:t xml:space="preserve">Regular training and awareness programmes for employees</w:t>
      </w:r>
    </w:p>
    <w:p>
      <w:pPr>
        <w:pStyle w:val="ListParagraph"/>
        <w:numPr>
          <w:ilvl w:val="0"/>
          <w:numId w:val="2"/>
        </w:numPr>
        <w:spacing w:after="120"/>
      </w:pPr>
      <w:r>
        <w:rPr>
          <w:rFonts w:ascii="Arial" w:cs="Arial" w:eastAsia="Arial" w:hAnsi="Arial"/>
          <w:color w:val="2C2C34"/>
          <w:sz w:val="20"/>
          <w:szCs w:val="20"/>
        </w:rPr>
        <w:t xml:space="preserve">Data protection management system with continuous improvement process</w:t>
      </w:r>
    </w:p>
    <w:p>
      <w:r>
        <w:br w:type="page"/>
      </w:r>
    </w:p>
    <w:p>
      <w:pPr>
        <w:pStyle w:val="Heading1"/>
      </w:pPr>
      <w:r>
        <w:rPr>
          <w:rFonts w:ascii="Arial" w:cs="Arial" w:eastAsia="Arial" w:hAnsi="Arial"/>
          <w:color w:val="1A1F3D"/>
        </w:rPr>
        <w:t xml:space="preserve">Annex 3 – Approved Sub-Processors</w:t>
      </w:r>
    </w:p>
    <w:p>
      <w:pPr>
        <w:spacing w:after="120" w:line="276"/>
      </w:pPr>
      <w:r>
        <w:rPr>
          <w:rFonts w:ascii="Arial" w:cs="Arial" w:eastAsia="Arial" w:hAnsi="Arial"/>
          <w:color w:val="2C2C34"/>
          <w:sz w:val="20"/>
          <w:szCs w:val="20"/>
        </w:rPr>
        <w:t xml:space="preserve">The Controller hereby grants general authorisation for the engagement of the following sub-processors: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126"/>
      </w:tblGrid>
      <w:tr>
        <w:tc>
          <w:tcPr>
            <w:tcW w:type="dxa" w:w="2200"/>
            <w:tcBorders>
              <w:top w:val="single" w:color="E4E2DC" w:sz="1"/>
              <w:left w:val="single" w:color="E4E2DC" w:sz="1"/>
              <w:bottom w:val="single" w:color="E4E2DC" w:sz="1"/>
              <w:right w:val="single" w:color="E4E2DC" w:sz="1"/>
            </w:tcBorders>
            <w:shd w:fill="1A1F3D" w:val="clear"/>
            <w:tcMar>
              <w:top w:type="dxa" w:w="80"/>
              <w:left w:type="dxa" w:w="120"/>
              <w:bottom w:type="dxa" w:w="80"/>
              <w:right w:type="dxa" w:w="120"/>
            </w:tcMar>
            <w:vAlign w:val="center"/>
          </w:tcPr>
          <w:p>
            <w:r>
              <w:rPr>
                <w:rFonts w:ascii="Arial" w:cs="Arial" w:eastAsia="Arial" w:hAnsi="Arial"/>
                <w:b/>
                <w:bCs/>
                <w:color w:val="FFFFFF"/>
                <w:sz w:val="18"/>
                <w:szCs w:val="18"/>
              </w:rPr>
              <w:t xml:space="preserve">Company</w:t>
            </w:r>
          </w:p>
        </w:tc>
        <w:tc>
          <w:tcPr>
            <w:tcW w:type="dxa" w:w="2200"/>
            <w:tcBorders>
              <w:top w:val="single" w:color="E4E2DC" w:sz="1"/>
              <w:left w:val="single" w:color="E4E2DC" w:sz="1"/>
              <w:bottom w:val="single" w:color="E4E2DC" w:sz="1"/>
              <w:right w:val="single" w:color="E4E2DC" w:sz="1"/>
            </w:tcBorders>
            <w:shd w:fill="1A1F3D" w:val="clear"/>
            <w:tcMar>
              <w:top w:type="dxa" w:w="80"/>
              <w:left w:type="dxa" w:w="120"/>
              <w:bottom w:type="dxa" w:w="80"/>
              <w:right w:type="dxa" w:w="120"/>
            </w:tcMar>
            <w:vAlign w:val="center"/>
          </w:tcPr>
          <w:p>
            <w:r>
              <w:rPr>
                <w:rFonts w:ascii="Arial" w:cs="Arial" w:eastAsia="Arial" w:hAnsi="Arial"/>
                <w:b/>
                <w:bCs/>
                <w:color w:val="FFFFFF"/>
                <w:sz w:val="18"/>
                <w:szCs w:val="18"/>
              </w:rPr>
              <w:t xml:space="preserve">Location</w:t>
            </w:r>
          </w:p>
        </w:tc>
        <w:tc>
          <w:tcPr>
            <w:tcW w:type="dxa" w:w="2500"/>
            <w:tcBorders>
              <w:top w:val="single" w:color="E4E2DC" w:sz="1"/>
              <w:left w:val="single" w:color="E4E2DC" w:sz="1"/>
              <w:bottom w:val="single" w:color="E4E2DC" w:sz="1"/>
              <w:right w:val="single" w:color="E4E2DC" w:sz="1"/>
            </w:tcBorders>
            <w:shd w:fill="1A1F3D"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126"/>
            <w:tcBorders>
              <w:top w:val="single" w:color="E4E2DC" w:sz="1"/>
              <w:left w:val="single" w:color="E4E2DC" w:sz="1"/>
              <w:bottom w:val="single" w:color="E4E2DC" w:sz="1"/>
              <w:right w:val="single" w:color="E4E2DC" w:sz="1"/>
            </w:tcBorders>
            <w:shd w:fill="1A1F3D" w:val="clear"/>
            <w:tcMar>
              <w:top w:type="dxa" w:w="80"/>
              <w:left w:type="dxa" w:w="120"/>
              <w:bottom w:type="dxa" w:w="80"/>
              <w:right w:type="dxa" w:w="120"/>
            </w:tcMar>
            <w:vAlign w:val="center"/>
          </w:tcPr>
          <w:p>
            <w:r>
              <w:rPr>
                <w:rFonts w:ascii="Arial" w:cs="Arial" w:eastAsia="Arial" w:hAnsi="Arial"/>
                <w:b/>
                <w:bCs/>
                <w:color w:val="FFFFFF"/>
                <w:sz w:val="18"/>
                <w:szCs w:val="18"/>
              </w:rPr>
              <w:t xml:space="preserve">Safeguard</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IONOS SE</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 (Germany)</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Hosting, Infrastructure</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Data stored in EU</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Resend, Inc.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Transactional email delivery</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 SCCs</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Anthropic, PBC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AI features (Claude API)</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 SCCs</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Stripe, Inc.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 / EU</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Payment processing</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EU-US DPF</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Twilio, Inc.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SMS and WhatsApp messaging</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 SCCs</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Google LLC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 / EU</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OAuth authentication, Calendar sync</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EU-US DPF</w:t>
            </w:r>
          </w:p>
        </w:tc>
      </w:tr>
      <w:tr>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Meta Platforms, Inc.</w:t>
            </w:r>
          </w:p>
        </w:tc>
        <w:tc>
          <w:tcPr>
            <w:tcW w:type="dxa" w:w="22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US / EU</w:t>
            </w:r>
          </w:p>
        </w:tc>
        <w:tc>
          <w:tcPr>
            <w:tcW w:type="dxa" w:w="2500"/>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WhatsApp Business API</w:t>
            </w:r>
          </w:p>
        </w:tc>
        <w:tc>
          <w:tcPr>
            <w:tcW w:type="dxa" w:w="2126"/>
            <w:tcBorders>
              <w:top w:val="single" w:color="E4E2DC" w:sz="1"/>
              <w:left w:val="single" w:color="E4E2DC" w:sz="1"/>
              <w:bottom w:val="single" w:color="E4E2DC" w:sz="1"/>
              <w:right w:val="single" w:color="E4E2DC" w:sz="1"/>
            </w:tcBorders>
            <w:tcMar>
              <w:top w:type="dxa" w:w="80"/>
              <w:left w:type="dxa" w:w="120"/>
              <w:bottom w:type="dxa" w:w="80"/>
              <w:right w:type="dxa" w:w="120"/>
            </w:tcMar>
          </w:tcPr>
          <w:p>
            <w:r>
              <w:rPr>
                <w:rFonts w:ascii="Arial" w:cs="Arial" w:eastAsia="Arial" w:hAnsi="Arial"/>
                <w:color w:val="2C2C34"/>
                <w:sz w:val="18"/>
                <w:szCs w:val="18"/>
              </w:rPr>
              <w:t xml:space="preserve">EU-US DPF</w:t>
            </w:r>
          </w:p>
        </w:tc>
      </w:tr>
    </w:tbl>
    <w:p>
      <w:pPr>
        <w:spacing w:after="120" w:line="276"/>
      </w:pPr>
      <w:r>
        <w:rPr>
          <w:rFonts w:ascii="Arial" w:cs="Arial" w:eastAsia="Arial" w:hAnsi="Arial"/>
          <w:color w:val="2C2C34"/>
          <w:sz w:val="20"/>
          <w:szCs w:val="20"/>
        </w:rPr>
        <w:t xml:space="preserve"/>
      </w:r>
    </w:p>
    <w:p>
      <w:pPr>
        <w:spacing w:after="120" w:line="276"/>
      </w:pPr>
    </w:p>
    <w:p>
      <w:pPr>
        <w:spacing w:after="120" w:line="276"/>
        <w:rPr>
          <w:i/>
          <w:iCs/>
          <w:color w:val="8C8A94"/>
        </w:rPr>
      </w:pPr>
      <w:r>
        <w:rPr>
          <w:rFonts w:ascii="Arial" w:cs="Arial" w:eastAsia="Arial" w:hAnsi="Arial"/>
          <w:i/>
          <w:iCs/>
          <w:color w:val="8C8A94"/>
          <w:sz w:val="20"/>
          <w:szCs w:val="20"/>
        </w:rPr>
        <w:t xml:space="preserve">The current list of sub-processors is published at tako.software/legal/subprocessors and updated in accordance with Section 5(2).</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4E2DC" w:sz="2" w:space="4"/>
      </w:pBdr>
      <w:jc w:val="right"/>
    </w:pPr>
    <w:r>
      <w:rPr>
        <w:rFonts w:ascii="Arial" w:cs="Arial" w:eastAsia="Arial" w:hAnsi="Arial"/>
        <w:color w:val="8C8A94"/>
        <w:sz w:val="16"/>
        <w:szCs w:val="16"/>
      </w:rPr>
      <w:t xml:space="preserve">Page </w:t>
    </w:r>
    <w:r>
      <w:rPr>
        <w:rFonts w:ascii="Arial" w:cs="Arial" w:eastAsia="Arial" w:hAnsi="Arial"/>
        <w:color w:val="8C8A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2DC" w:sz="2" w:space="4"/>
      </w:pBdr>
    </w:pPr>
    <w:r>
      <w:rPr>
        <w:rFonts w:ascii="Arial" w:cs="Arial" w:eastAsia="Arial" w:hAnsi="Arial"/>
        <w:color w:val="8C8A94"/>
        <w:sz w:val="16"/>
        <w:szCs w:val="16"/>
      </w:rPr>
      <w:t xml:space="preserve">Data Processing Agreement – TAKO CRM / Fintery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F3D"/>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1A1F3D"/>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1A1F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2026-04-22T23:43:53.384Z</dcterms:created>
  <dcterms:modified xsi:type="dcterms:W3CDTF">2026-04-22T23:43:53.384Z</dcterms:modified>
</cp:coreProperties>
</file>

<file path=docProps/custom.xml><?xml version="1.0" encoding="utf-8"?>
<Properties xmlns="http://schemas.openxmlformats.org/officeDocument/2006/custom-properties" xmlns:vt="http://schemas.openxmlformats.org/officeDocument/2006/docPropsVTypes"/>
</file>