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276" w:lineRule="auto"/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0a0a0a"/>
          <w:sz w:val="26"/>
          <w:szCs w:val="26"/>
          <w:rtl w:val="0"/>
        </w:rPr>
        <w:t xml:space="preserve">GUION — PARTE 3 · DATA QUALITY / FEATURE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20" w:line="276" w:lineRule="auto"/>
        <w:jc w:val="center"/>
        <w:rPr/>
      </w:pPr>
      <w:r w:rsidDel="00000000" w:rsidR="00000000" w:rsidRPr="00000000">
        <w:rPr>
          <w:b w:val="0"/>
          <w:bCs w:val="0"/>
          <w:i w:val="1"/>
          <w:iCs w:val="1"/>
          <w:color w:val="555555"/>
          <w:sz w:val="18"/>
          <w:szCs w:val="18"/>
          <w:rtl w:val="0"/>
        </w:rPr>
        <w:t xml:space="preserve">Slides 8 a 12  ·  ~3:30 min  ·  lo que está en cursiva y entre corchetes no se lee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76" w:lineRule="auto"/>
        <w:jc w:val="both"/>
        <w:rPr/>
      </w:pPr>
      <w:r w:rsidDel="00000000" w:rsidR="00000000" w:rsidRPr="00000000">
        <w:rPr>
          <w:b w:val="1"/>
          <w:bCs w:val="1"/>
          <w:i w:val="0"/>
          <w:iCs w:val="0"/>
          <w:color w:val="b88600"/>
          <w:sz w:val="23"/>
          <w:szCs w:val="23"/>
          <w:rtl w:val="0"/>
        </w:rPr>
        <w:t xml:space="preserve">SLIDE 8 — DE 6 ENCUESTAS A UN DATASET (~0:50)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76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Gracias. Recién vimos de dónde salen los datos; mi trabajo empieza cuando llegan. Y llegan crudos, desordenados y hablando seis idiomas distintos.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76" w:lineRule="auto"/>
        <w:jc w:val="both"/>
        <w:rPr>
          <w:b w:val="0"/>
          <w:bCs w:val="0"/>
          <w:i w:val="0"/>
          <w:iCs w:val="0"/>
          <w:sz w:val="22"/>
          <w:szCs w:val="22"/>
        </w:rPr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¿Seis idiomas? Sí: las seis encuestas preguntaban lo mismo, pero cada una a su manera. </w:t>
      </w:r>
    </w:p>
    <w:p w:rsidR="00000000" w:rsidDel="00000000" w:rsidP="00000000" w:rsidRDefault="00000000" w:rsidRPr="00000000" w14:paraId="00000006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76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Amortización de esquemas: </w:t>
      </w:r>
    </w:p>
    <w:p w:rsidR="00000000" w:rsidDel="00000000" w:rsidP="00000000" w:rsidRDefault="00000000" w:rsidRPr="00000000" w14:paraId="00000008">
      <w:pPr>
        <w:spacing w:after="0" w:line="276" w:lineRule="auto"/>
        <w:jc w:val="both"/>
        <w:rPr>
          <w:b w:val="1"/>
          <w:bCs w:val="1"/>
          <w:i w:val="0"/>
          <w:iCs w:val="0"/>
          <w:sz w:val="22"/>
          <w:szCs w:val="22"/>
        </w:rPr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En 2022 la provincia venía en una columna llamada, literalmente, «donde_estas_trabajando»; en 2024, «provincia». </w:t>
      </w:r>
    </w:p>
    <w:p w:rsidR="00000000" w:rsidDel="00000000" w:rsidP="00000000" w:rsidRDefault="00000000" w:rsidRPr="00000000" w14:paraId="00000009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76" w:lineRule="auto"/>
        <w:jc w:val="both"/>
        <w:rPr>
          <w:b w:val="1"/>
          <w:bCs w:val="1"/>
          <w:i w:val="0"/>
          <w:iCs w:val="0"/>
          <w:sz w:val="22"/>
          <w:szCs w:val="22"/>
        </w:rPr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Una edición traía 43 columnas; otra, 56. </w:t>
      </w:r>
    </w:p>
    <w:p w:rsidR="00000000" w:rsidDel="00000000" w:rsidP="00000000" w:rsidRDefault="00000000" w:rsidRPr="00000000" w14:paraId="0000000B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76" w:lineRule="auto"/>
        <w:jc w:val="both"/>
        <w:rPr>
          <w:b w:val="0"/>
          <w:bCs w:val="0"/>
          <w:i w:val="0"/>
          <w:iCs w:val="0"/>
          <w:sz w:val="22"/>
          <w:szCs w:val="22"/>
        </w:rPr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Todo esto </w:t>
      </w: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se resuelve en un único script del repositorio —limpiar_y_unificar_datos.py— que mapea cada columna por coincidencia de tokens: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 reconoce las palabras clave del nombre, esté escrito como esté. El beneficio: cuando salga la encuesta 2026, el mismo script la incorpora solo.</w:t>
      </w:r>
    </w:p>
    <w:p w:rsidR="00000000" w:rsidDel="00000000" w:rsidP="00000000" w:rsidRDefault="00000000" w:rsidRPr="00000000" w14:paraId="0000000D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1f1f1e" w:val="clear"/>
        <w:spacing w:after="0" w:line="276" w:lineRule="auto"/>
        <w:jc w:val="both"/>
        <w:rPr>
          <w:rFonts w:ascii="Roboto" w:cs="Roboto" w:eastAsia="Roboto" w:hAnsi="Roboto"/>
          <w:color w:val="e2e1da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e2e1da"/>
          <w:sz w:val="21"/>
          <w:szCs w:val="21"/>
          <w:rtl w:val="0"/>
        </w:rPr>
        <w:t xml:space="preserve">Qué es un token acá: cada palabra del nombre de una columna. El script no busca el nombre exacto: lo parte en palabras, las normaliza (minúsculas, sin tildes, sin signos) y compara palabra por palabra contra una lista de alias conocidos.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1f1f1e" w:val="clear"/>
        <w:spacing w:after="0" w:line="276" w:lineRule="auto"/>
        <w:jc w:val="both"/>
        <w:rPr>
          <w:rFonts w:ascii="Roboto" w:cs="Roboto" w:eastAsia="Roboto" w:hAnsi="Roboto"/>
          <w:color w:val="e2e1da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e2e1da"/>
          <w:sz w:val="21"/>
          <w:szCs w:val="21"/>
          <w:rtl w:val="0"/>
        </w:rPr>
        <w:t xml:space="preserve">Ejemplo concreto:</w:t>
      </w:r>
    </w:p>
    <w:p w:rsidR="00000000" w:rsidDel="00000000" w:rsidP="00000000" w:rsidRDefault="00000000" w:rsidRPr="00000000" w14:paraId="00000010">
      <w:pPr>
        <w:shd w:fill="262626" w:val="clear"/>
        <w:spacing w:after="0" w:line="369.23040000000003" w:lineRule="auto"/>
        <w:jc w:val="both"/>
        <w:rPr>
          <w:rFonts w:ascii="Courier New" w:cs="Courier New" w:eastAsia="Courier New" w:hAnsi="Courier New"/>
          <w:color w:val="ededed"/>
          <w:sz w:val="20"/>
          <w:szCs w:val="20"/>
          <w:shd w:fill="262626" w:val="clear"/>
        </w:rPr>
      </w:pPr>
      <w:sdt>
        <w:sdtPr>
          <w:id w:val="646452004"/>
          <w:tag w:val="goog_rdk_0"/>
        </w:sdtPr>
        <w:sdtContent>
          <w:r w:rsidDel="00000000" w:rsidR="00000000" w:rsidRPr="00000000">
            <w:rPr>
              <w:rFonts w:ascii="Fira Mono" w:cs="Fira Mono" w:eastAsia="Fira Mono" w:hAnsi="Fira Mono"/>
              <w:color w:val="ededed"/>
              <w:sz w:val="20"/>
              <w:szCs w:val="20"/>
              <w:shd w:fill="262626" w:val="clear"/>
              <w:rtl w:val="0"/>
            </w:rPr>
            <w:t xml:space="preserve">2022:  "¿Dónde estás trabajando?"     → tokens: [donde, estas, trabajando]</w:t>
          </w:r>
        </w:sdtContent>
      </w:sdt>
    </w:p>
    <w:p w:rsidR="00000000" w:rsidDel="00000000" w:rsidP="00000000" w:rsidRDefault="00000000" w:rsidRPr="00000000" w14:paraId="00000011">
      <w:pPr>
        <w:shd w:fill="262626" w:val="clear"/>
        <w:spacing w:after="0" w:line="369.23040000000003" w:lineRule="auto"/>
        <w:jc w:val="both"/>
        <w:rPr>
          <w:rFonts w:ascii="Courier New" w:cs="Courier New" w:eastAsia="Courier New" w:hAnsi="Courier New"/>
          <w:color w:val="ededed"/>
          <w:sz w:val="20"/>
          <w:szCs w:val="20"/>
          <w:shd w:fill="262626" w:val="clear"/>
        </w:rPr>
      </w:pPr>
      <w:sdt>
        <w:sdtPr>
          <w:id w:val="692113601"/>
          <w:tag w:val="goog_rdk_1"/>
        </w:sdtPr>
        <w:sdtContent>
          <w:r w:rsidDel="00000000" w:rsidR="00000000" w:rsidRPr="00000000">
            <w:rPr>
              <w:rFonts w:ascii="Fira Mono" w:cs="Fira Mono" w:eastAsia="Fira Mono" w:hAnsi="Fira Mono"/>
              <w:color w:val="ededed"/>
              <w:sz w:val="20"/>
              <w:szCs w:val="20"/>
              <w:shd w:fill="262626" w:val="clear"/>
              <w:rtl w:val="0"/>
            </w:rPr>
            <w:t xml:space="preserve">2023:  "donde_estas_trabajando"       → tokens: [donde, estas, trabajando]</w:t>
          </w:r>
        </w:sdtContent>
      </w:sdt>
    </w:p>
    <w:p w:rsidR="00000000" w:rsidDel="00000000" w:rsidP="00000000" w:rsidRDefault="00000000" w:rsidRPr="00000000" w14:paraId="00000012">
      <w:pPr>
        <w:shd w:fill="262626" w:val="clear"/>
        <w:spacing w:after="0" w:line="369.23040000000003" w:lineRule="auto"/>
        <w:jc w:val="both"/>
        <w:rPr>
          <w:rFonts w:ascii="Courier New" w:cs="Courier New" w:eastAsia="Courier New" w:hAnsi="Courier New"/>
          <w:color w:val="ededed"/>
          <w:sz w:val="20"/>
          <w:szCs w:val="20"/>
          <w:shd w:fill="262626" w:val="clear"/>
        </w:rPr>
      </w:pPr>
      <w:sdt>
        <w:sdtPr>
          <w:id w:val="-1985163545"/>
          <w:tag w:val="goog_rdk_2"/>
        </w:sdtPr>
        <w:sdtContent>
          <w:r w:rsidDel="00000000" w:rsidR="00000000" w:rsidRPr="00000000">
            <w:rPr>
              <w:rFonts w:ascii="Fira Mono" w:cs="Fira Mono" w:eastAsia="Fira Mono" w:hAnsi="Fira Mono"/>
              <w:color w:val="ededed"/>
              <w:sz w:val="20"/>
              <w:szCs w:val="20"/>
              <w:shd w:fill="262626" w:val="clear"/>
              <w:rtl w:val="0"/>
            </w:rPr>
            <w:t xml:space="preserve">2024:  "Provincia"                    → tokens: [provincia]</w:t>
          </w:r>
        </w:sdtContent>
      </w:sdt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1f1f1e" w:val="clear"/>
        <w:spacing w:after="0" w:line="276" w:lineRule="auto"/>
        <w:jc w:val="both"/>
        <w:rPr>
          <w:rFonts w:ascii="Roboto" w:cs="Roboto" w:eastAsia="Roboto" w:hAnsi="Roboto"/>
          <w:color w:val="e2e1da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e2e1da"/>
          <w:sz w:val="21"/>
          <w:szCs w:val="21"/>
          <w:rtl w:val="0"/>
        </w:rPr>
        <w:t xml:space="preserve">Los tres nombres son distintos como texto (mayúsculas, tildes, signos, guiones bajos), pero después de tokenizar, los dos primeros quedan idénticos y el tercero matchea con el alias </w:t>
      </w:r>
      <w:r w:rsidDel="00000000" w:rsidR="00000000" w:rsidRPr="00000000">
        <w:rPr>
          <w:rFonts w:ascii="Courier New" w:cs="Courier New" w:eastAsia="Courier New" w:hAnsi="Courier New"/>
          <w:color w:val="e2e1da"/>
          <w:sz w:val="20"/>
          <w:szCs w:val="20"/>
          <w:rtl w:val="0"/>
        </w:rPr>
        <w:t xml:space="preserve">provincia</w:t>
      </w:r>
      <w:r w:rsidDel="00000000" w:rsidR="00000000" w:rsidRPr="00000000">
        <w:rPr>
          <w:rFonts w:ascii="Roboto" w:cs="Roboto" w:eastAsia="Roboto" w:hAnsi="Roboto"/>
          <w:color w:val="e2e1da"/>
          <w:sz w:val="21"/>
          <w:szCs w:val="21"/>
          <w:rtl w:val="0"/>
        </w:rPr>
        <w:t xml:space="preserve"> de la lista. Los tres van a parar a la misma columna final: </w:t>
      </w:r>
      <w:r w:rsidDel="00000000" w:rsidR="00000000" w:rsidRPr="00000000">
        <w:rPr>
          <w:rFonts w:ascii="Courier New" w:cs="Courier New" w:eastAsia="Courier New" w:hAnsi="Courier New"/>
          <w:color w:val="e2e1da"/>
          <w:sz w:val="20"/>
          <w:szCs w:val="20"/>
          <w:rtl w:val="0"/>
        </w:rPr>
        <w:t xml:space="preserve">provincia</w:t>
      </w:r>
      <w:r w:rsidDel="00000000" w:rsidR="00000000" w:rsidRPr="00000000">
        <w:rPr>
          <w:rFonts w:ascii="Roboto" w:cs="Roboto" w:eastAsia="Roboto" w:hAnsi="Roboto"/>
          <w:color w:val="e2e1da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4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1f1f1e" w:val="clear"/>
        <w:spacing w:after="0" w:line="276" w:lineRule="auto"/>
        <w:jc w:val="both"/>
        <w:rPr>
          <w:rFonts w:ascii="Roboto" w:cs="Roboto" w:eastAsia="Roboto" w:hAnsi="Roboto"/>
          <w:color w:val="e2e1da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e2e1da"/>
          <w:sz w:val="21"/>
          <w:szCs w:val="21"/>
          <w:rtl w:val="0"/>
        </w:rPr>
        <w:t xml:space="preserve">1. Redundantes con algo que ya conservamos (la misma historia contada dos veces):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1f1f1e" w:val="clear"/>
        <w:spacing w:after="0" w:line="276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e2e1da"/>
          <w:sz w:val="20"/>
          <w:szCs w:val="20"/>
          <w:rtl w:val="0"/>
        </w:rPr>
        <w:t xml:space="preserve">salario_neto</w:t>
      </w:r>
      <w:sdt>
        <w:sdtPr>
          <w:id w:val="-1916711908"/>
          <w:tag w:val="goog_rdk_3"/>
        </w:sdtPr>
        <w:sdtContent>
          <w:r w:rsidDel="00000000" w:rsidR="00000000" w:rsidRPr="00000000">
            <w:rPr>
              <w:rFonts w:ascii="Nova Mono" w:cs="Nova Mono" w:eastAsia="Nova Mono" w:hAnsi="Nova Mono"/>
              <w:color w:val="e2e1da"/>
              <w:sz w:val="21"/>
              <w:szCs w:val="21"/>
              <w:rtl w:val="0"/>
            </w:rPr>
            <w:t xml:space="preserve"> → nos quedamos con el bruto (el neto es el bruto menos impuestos: no agrega información).</w:t>
          </w:r>
        </w:sdtContent>
      </w:sdt>
    </w:p>
    <w:p w:rsidR="00000000" w:rsidDel="00000000" w:rsidP="00000000" w:rsidRDefault="00000000" w:rsidRPr="00000000" w14:paraId="0000001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1f1f1e" w:val="clear"/>
        <w:spacing w:after="0" w:line="276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e2e1da"/>
          <w:sz w:val="20"/>
          <w:szCs w:val="20"/>
          <w:rtl w:val="0"/>
        </w:rPr>
        <w:t xml:space="preserve">anos_en_el_puesto_actual</w:t>
      </w:r>
      <w:sdt>
        <w:sdtPr>
          <w:id w:val="1911501160"/>
          <w:tag w:val="goog_rdk_4"/>
        </w:sdtPr>
        <w:sdtContent>
          <w:r w:rsidDel="00000000" w:rsidR="00000000" w:rsidRPr="00000000">
            <w:rPr>
              <w:rFonts w:ascii="Nova Mono" w:cs="Nova Mono" w:eastAsia="Nova Mono" w:hAnsi="Nova Mono"/>
              <w:color w:val="e2e1da"/>
              <w:sz w:val="21"/>
              <w:szCs w:val="21"/>
              <w:rtl w:val="0"/>
            </w:rPr>
            <w:t xml:space="preserve"> → redundante con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e2e1da"/>
          <w:sz w:val="20"/>
          <w:szCs w:val="20"/>
          <w:rtl w:val="0"/>
        </w:rPr>
        <w:t xml:space="preserve">antiguedad_en_la_empresa_actual</w:t>
      </w:r>
      <w:r w:rsidDel="00000000" w:rsidR="00000000" w:rsidRPr="00000000">
        <w:rPr>
          <w:rFonts w:ascii="Roboto" w:cs="Roboto" w:eastAsia="Roboto" w:hAnsi="Roboto"/>
          <w:color w:val="e2e1da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1f1f1e" w:val="clear"/>
        <w:spacing w:after="0" w:line="276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e2e1da"/>
          <w:sz w:val="20"/>
          <w:szCs w:val="20"/>
          <w:rtl w:val="0"/>
        </w:rPr>
        <w:t xml:space="preserve">sueldo_dolarizado</w:t>
      </w:r>
      <w:r w:rsidDel="00000000" w:rsidR="00000000" w:rsidRPr="00000000">
        <w:rPr>
          <w:rFonts w:ascii="Roboto" w:cs="Roboto" w:eastAsia="Roboto" w:hAnsi="Roboto"/>
          <w:color w:val="e2e1da"/>
          <w:sz w:val="21"/>
          <w:szCs w:val="2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e2e1da"/>
          <w:sz w:val="20"/>
          <w:szCs w:val="20"/>
          <w:rtl w:val="0"/>
        </w:rPr>
        <w:t xml:space="preserve">cuál fue el valor del dólar que tomaron</w:t>
      </w:r>
      <w:sdt>
        <w:sdtPr>
          <w:id w:val="1217361150"/>
          <w:tag w:val="goog_rdk_5"/>
        </w:sdtPr>
        <w:sdtContent>
          <w:r w:rsidDel="00000000" w:rsidR="00000000" w:rsidRPr="00000000">
            <w:rPr>
              <w:rFonts w:ascii="Nova Mono" w:cs="Nova Mono" w:eastAsia="Nova Mono" w:hAnsi="Nova Mono"/>
              <w:color w:val="e2e1da"/>
              <w:sz w:val="21"/>
              <w:szCs w:val="21"/>
              <w:rtl w:val="0"/>
            </w:rPr>
            <w:t xml:space="preserve"> → alcanza con el flag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e2e1da"/>
          <w:sz w:val="20"/>
          <w:szCs w:val="20"/>
          <w:rtl w:val="0"/>
        </w:rPr>
        <w:t xml:space="preserve">cobra_en_dolares</w:t>
      </w:r>
      <w:r w:rsidDel="00000000" w:rsidR="00000000" w:rsidRPr="00000000">
        <w:rPr>
          <w:rFonts w:ascii="Roboto" w:cs="Roboto" w:eastAsia="Roboto" w:hAnsi="Roboto"/>
          <w:color w:val="e2e1da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1f1f1e" w:val="clear"/>
        <w:spacing w:after="0" w:line="276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color w:val="e2e1da"/>
          <w:sz w:val="20"/>
          <w:szCs w:val="20"/>
          <w:rtl w:val="0"/>
        </w:rPr>
        <w:t xml:space="preserve">seniority</w:t>
      </w:r>
      <w:sdt>
        <w:sdtPr>
          <w:id w:val="-293099992"/>
          <w:tag w:val="goog_rdk_6"/>
        </w:sdtPr>
        <w:sdtContent>
          <w:r w:rsidDel="00000000" w:rsidR="00000000" w:rsidRPr="00000000">
            <w:rPr>
              <w:rFonts w:ascii="Nova Mono" w:cs="Nova Mono" w:eastAsia="Nova Mono" w:hAnsi="Nova Mono"/>
              <w:color w:val="e2e1da"/>
              <w:sz w:val="21"/>
              <w:szCs w:val="21"/>
              <w:rtl w:val="0"/>
            </w:rPr>
            <w:t xml:space="preserve"> → este es el caso estrella: quedó en el dataset pero se excluyó del modelo, porque cuenta lo mismo que los años de experiencia (multicolinealidad).</w:t>
          </w:r>
        </w:sdtContent>
      </w:sdt>
    </w:p>
    <w:p w:rsidR="00000000" w:rsidDel="00000000" w:rsidP="00000000" w:rsidRDefault="00000000" w:rsidRPr="00000000" w14:paraId="0000001A">
      <w:pPr>
        <w:spacing w:after="0" w:line="276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76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Parseo y tipado:</w:t>
      </w:r>
    </w:p>
    <w:p w:rsidR="00000000" w:rsidDel="00000000" w:rsidP="00000000" w:rsidRDefault="00000000" w:rsidRPr="00000000" w14:paraId="0000001C">
      <w:pPr>
        <w:spacing w:after="0" w:line="276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Después, la calidad campo por campo. 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Sueldos escritos como texto, convertidos a número. 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Tecnologías tipeadas de cualquier manera —«postgres», «PostgreSQL»— unificadas con fuzzy matching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,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 un algoritmo que agrupa palabras parecidas aunque estén mal escritas.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76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Outliers y Datos faltantes: </w:t>
      </w:r>
    </w:p>
    <w:p w:rsidR="00000000" w:rsidDel="00000000" w:rsidP="00000000" w:rsidRDefault="00000000" w:rsidRPr="00000000" w14:paraId="00000021">
      <w:pPr>
        <w:spacing w:after="0" w:line="276" w:lineRule="auto"/>
        <w:jc w:val="both"/>
        <w:rPr>
          <w:b w:val="0"/>
          <w:bCs w:val="0"/>
          <w:i w:val="0"/>
          <w:iCs w:val="0"/>
          <w:sz w:val="22"/>
          <w:szCs w:val="22"/>
        </w:rPr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Y con los faltantes, cirugía: si falta el sueldo o la provincia, la fila se descarta;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si falta algo secundario, se imputa con la mediana o la moda,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 para no perder una fila valiosa por un casillero vacío.</w:t>
      </w:r>
    </w:p>
    <w:p w:rsidR="00000000" w:rsidDel="00000000" w:rsidP="00000000" w:rsidRDefault="00000000" w:rsidRPr="00000000" w14:paraId="00000022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76" w:lineRule="auto"/>
        <w:jc w:val="both"/>
        <w:rPr>
          <w:b w:val="1"/>
          <w:bCs w:val="1"/>
          <w:i w:val="0"/>
          <w:iCs w:val="0"/>
          <w:sz w:val="22"/>
          <w:szCs w:val="22"/>
        </w:rPr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Una decisión para destacar: </w:t>
      </w: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los valores extremos no se borran, se marcan. Un CTO que gana cinco veces la mediana no es un error,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 es un dato real. </w:t>
      </w: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Solo descartamos errores evidentes de carga: un sueldo escrito en miles, cincuenta veces arriba de la mediana.</w:t>
      </w:r>
    </w:p>
    <w:p w:rsidR="00000000" w:rsidDel="00000000" w:rsidP="00000000" w:rsidRDefault="00000000" w:rsidRPr="00000000" w14:paraId="00000024">
      <w:pPr>
        <w:spacing w:after="0" w:line="276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="276" w:lineRule="auto"/>
        <w:jc w:val="both"/>
        <w:rPr>
          <w:rFonts w:ascii="Roboto" w:cs="Roboto" w:eastAsia="Roboto" w:hAnsi="Roboto"/>
          <w:color w:val="0a0a0a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Crítico (se descarta la fila):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="276" w:lineRule="auto"/>
        <w:ind w:left="720" w:hanging="360"/>
      </w:pPr>
      <w:sdt>
        <w:sdtPr>
          <w:id w:val="-2073213997"/>
          <w:tag w:val="goog_rdk_7"/>
        </w:sdtPr>
        <w:sdtContent>
          <w:r w:rsidDel="00000000" w:rsidR="00000000" w:rsidRPr="00000000">
            <w:rPr>
              <w:rFonts w:ascii="Nova Mono" w:cs="Nova Mono" w:eastAsia="Nova Mono" w:hAnsi="Nova Mono"/>
              <w:color w:val="0a0a0a"/>
              <w:sz w:val="21"/>
              <w:szCs w:val="21"/>
              <w:rtl w:val="0"/>
            </w:rPr>
            <w:t xml:space="preserve">Falta el sueldo → la fila no sirve: es justamente lo que queremos predecir. No se puede inventar.</w:t>
          </w:r>
        </w:sdtContent>
      </w:sdt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="276" w:lineRule="auto"/>
        <w:ind w:left="720" w:hanging="360"/>
      </w:pPr>
      <w:sdt>
        <w:sdtPr>
          <w:id w:val="494012910"/>
          <w:tag w:val="goog_rdk_8"/>
        </w:sdtPr>
        <w:sdtContent>
          <w:r w:rsidDel="00000000" w:rsidR="00000000" w:rsidRPr="00000000">
            <w:rPr>
              <w:rFonts w:ascii="Nova Mono" w:cs="Nova Mono" w:eastAsia="Nova Mono" w:hAnsi="Nova Mono"/>
              <w:color w:val="0a0a0a"/>
              <w:sz w:val="21"/>
              <w:szCs w:val="21"/>
              <w:rtl w:val="0"/>
            </w:rPr>
            <w:t xml:space="preserve">Falta la provincia → no podés ubicar el perfil en ningún mercado. Estas filas son parte del 3,8% descartado.</w:t>
          </w:r>
        </w:sdtContent>
      </w:sdt>
    </w:p>
    <w:p w:rsidR="00000000" w:rsidDel="00000000" w:rsidP="00000000" w:rsidRDefault="00000000" w:rsidRPr="00000000" w14:paraId="0000002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="276" w:lineRule="auto"/>
        <w:ind w:left="720" w:firstLine="0"/>
        <w:rPr>
          <w:rFonts w:ascii="Roboto" w:cs="Roboto" w:eastAsia="Roboto" w:hAnsi="Roboto"/>
          <w:color w:val="0a0a0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="276" w:lineRule="auto"/>
        <w:jc w:val="both"/>
        <w:rPr>
          <w:rFonts w:ascii="Roboto" w:cs="Roboto" w:eastAsia="Roboto" w:hAnsi="Roboto"/>
          <w:color w:val="0a0a0a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Secundario (se imputa):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="276" w:lineRule="auto"/>
        <w:ind w:left="720" w:hanging="360"/>
      </w:pPr>
      <w:sdt>
        <w:sdtPr>
          <w:id w:val="70461067"/>
          <w:tag w:val="goog_rdk_9"/>
        </w:sdtPr>
        <w:sdtContent>
          <w:r w:rsidDel="00000000" w:rsidR="00000000" w:rsidRPr="00000000">
            <w:rPr>
              <w:rFonts w:ascii="Nova Mono" w:cs="Nova Mono" w:eastAsia="Nova Mono" w:hAnsi="Nova Mono"/>
              <w:color w:val="0a0a0a"/>
              <w:sz w:val="21"/>
              <w:szCs w:val="21"/>
              <w:rtl w:val="0"/>
            </w:rPr>
            <w:t xml:space="preserve">Falta la edad → se completa con la mediana: 33 años. Esa fila tiene sueldo, rol, provincia, experiencia… tirarla por un casillero vacío sería perder un dato valioso.</w:t>
          </w:r>
        </w:sdtContent>
      </w:sdt>
    </w:p>
    <w:p w:rsidR="00000000" w:rsidDel="00000000" w:rsidP="00000000" w:rsidRDefault="00000000" w:rsidRPr="00000000" w14:paraId="0000002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="276" w:lineRule="auto"/>
        <w:ind w:left="720" w:hanging="360"/>
      </w:pPr>
      <w:sdt>
        <w:sdtPr>
          <w:id w:val="-22006837"/>
          <w:tag w:val="goog_rdk_10"/>
        </w:sdtPr>
        <w:sdtContent>
          <w:r w:rsidDel="00000000" w:rsidR="00000000" w:rsidRPr="00000000">
            <w:rPr>
              <w:rFonts w:ascii="Nova Mono" w:cs="Nova Mono" w:eastAsia="Nova Mono" w:hAnsi="Nova Mono"/>
              <w:color w:val="0a0a0a"/>
              <w:sz w:val="21"/>
              <w:szCs w:val="21"/>
              <w:rtl w:val="0"/>
            </w:rPr>
            <w:t xml:space="preserve">Falta la modalidad → se completa con la moda (el valor más frecuente): "100% remoto".</w:t>
          </w:r>
        </w:sdtContent>
      </w:sdt>
    </w:p>
    <w:p w:rsidR="00000000" w:rsidDel="00000000" w:rsidP="00000000" w:rsidRDefault="00000000" w:rsidRPr="00000000" w14:paraId="0000002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="276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Mediana y no promedio porque el promedio se contamina con los extremos; la mediana es el valor "del medio", más honesto.</w:t>
      </w:r>
    </w:p>
    <w:p w:rsidR="00000000" w:rsidDel="00000000" w:rsidP="00000000" w:rsidRDefault="00000000" w:rsidRPr="00000000" w14:paraId="0000002D">
      <w:pPr>
        <w:spacing w:after="0" w:line="276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76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76" w:lineRule="auto"/>
        <w:jc w:val="both"/>
        <w:rPr/>
      </w:pPr>
      <w:r w:rsidDel="00000000" w:rsidR="00000000" w:rsidRPr="00000000">
        <w:rPr>
          <w:b w:val="1"/>
          <w:bCs w:val="1"/>
          <w:i w:val="0"/>
          <w:iCs w:val="0"/>
          <w:color w:val="b88600"/>
          <w:sz w:val="23"/>
          <w:szCs w:val="23"/>
          <w:rtl w:val="0"/>
        </w:rPr>
        <w:t xml:space="preserve">SLIDE 9 — LA LIMPIEZA EN NÚMEROS (~0:20)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76" w:lineRule="auto"/>
        <w:jc w:val="both"/>
        <w:rPr>
          <w:b w:val="0"/>
          <w:bCs w:val="0"/>
          <w:i w:val="0"/>
          <w:iCs w:val="0"/>
          <w:sz w:val="22"/>
          <w:szCs w:val="22"/>
        </w:rPr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[pasar de slide]  Y esto no es un relato: se mide. Edición por edición, en gris lo que llegó y en negro lo que quedó. La brecha es mínima: de 32.309 filas conservamos 31.088, descartamos apenas el 3,8%. Limpiar no es recortar: es conservar datos confiables.</w:t>
      </w:r>
    </w:p>
    <w:p w:rsidR="00000000" w:rsidDel="00000000" w:rsidP="00000000" w:rsidRDefault="00000000" w:rsidRPr="00000000" w14:paraId="00000032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76" w:lineRule="auto"/>
        <w:jc w:val="both"/>
        <w:rPr/>
      </w:pPr>
      <w:r w:rsidDel="00000000" w:rsidR="00000000" w:rsidRPr="00000000">
        <w:rPr>
          <w:b w:val="1"/>
          <w:bCs w:val="1"/>
          <w:i w:val="0"/>
          <w:iCs w:val="0"/>
          <w:color w:val="b88600"/>
          <w:sz w:val="23"/>
          <w:szCs w:val="23"/>
          <w:rtl w:val="0"/>
        </w:rPr>
        <w:t xml:space="preserve">SLIDE 10 — FEATURE ENGINEERING (~0:50)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76" w:lineRule="auto"/>
        <w:jc w:val="both"/>
        <w:rPr>
          <w:b w:val="0"/>
          <w:bCs w:val="0"/>
          <w:i w:val="0"/>
          <w:iCs w:val="0"/>
          <w:sz w:val="22"/>
          <w:szCs w:val="22"/>
        </w:rPr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[pasar de slide]  Con los datos limpios arranca la segunda mitad: el feature engineering, </w:t>
      </w: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convertir un formulario de encuesta en variables que el modelo aproveche.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 Tres decisiones claves.</w:t>
      </w:r>
    </w:p>
    <w:p w:rsidR="00000000" w:rsidDel="00000000" w:rsidP="00000000" w:rsidRDefault="00000000" w:rsidRPr="00000000" w14:paraId="00000035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76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Provincias: One Hot Encoding</w:t>
      </w:r>
    </w:p>
    <w:p w:rsidR="00000000" w:rsidDel="00000000" w:rsidP="00000000" w:rsidRDefault="00000000" w:rsidRPr="00000000" w14:paraId="00000038">
      <w:pPr>
        <w:spacing w:after="0" w:line="276" w:lineRule="auto"/>
        <w:jc w:val="both"/>
        <w:rPr>
          <w:b w:val="1"/>
          <w:bCs w:val="1"/>
          <w:i w:val="0"/>
          <w:iCs w:val="0"/>
          <w:sz w:val="22"/>
          <w:szCs w:val="22"/>
        </w:rPr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Uno: las categóricas —provincia, modalidad, tamaño de empresa— se transforman con one-hot encoding, una columna de unos y ceros por categoría. Beneficio: el modelo no inventa un orden falso; Córdoba no es «mayor» que Mendoza.</w:t>
      </w:r>
    </w:p>
    <w:p w:rsidR="00000000" w:rsidDel="00000000" w:rsidP="00000000" w:rsidRDefault="00000000" w:rsidRPr="00000000" w14:paraId="00000039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76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Ingeniería Objetivo:</w:t>
      </w:r>
    </w:p>
    <w:p w:rsidR="00000000" w:rsidDel="00000000" w:rsidP="00000000" w:rsidRDefault="00000000" w:rsidRPr="00000000" w14:paraId="0000003B">
      <w:pPr>
        <w:spacing w:after="0" w:line="276" w:lineRule="auto"/>
        <w:jc w:val="both"/>
        <w:rPr>
          <w:b w:val="0"/>
          <w:bCs w:val="0"/>
          <w:i w:val="0"/>
          <w:iCs w:val="0"/>
          <w:sz w:val="22"/>
          <w:szCs w:val="22"/>
        </w:rPr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Dos, la ingeniería del objetivo: </w:t>
      </w: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no predecimos el sueldo nominal sino el real, deflactado por IPC a pesos de mayo de 2026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 —y por la inflación americana si el sueldo es en dólares—. Un millón de 2022 y uno de 2025 no son la misma plata: sin este ajuste el modelo aprendería el paso del tiempo, no el perfil.</w:t>
      </w:r>
    </w:p>
    <w:p w:rsidR="00000000" w:rsidDel="00000000" w:rsidP="00000000" w:rsidRDefault="00000000" w:rsidRPr="00000000" w14:paraId="0000003C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76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Multicolinealidad:</w:t>
      </w:r>
    </w:p>
    <w:p w:rsidR="00000000" w:rsidDel="00000000" w:rsidP="00000000" w:rsidRDefault="00000000" w:rsidRPr="00000000" w14:paraId="0000003E">
      <w:pPr>
        <w:spacing w:after="0" w:line="276" w:lineRule="auto"/>
        <w:jc w:val="both"/>
        <w:rPr>
          <w:b w:val="0"/>
          <w:bCs w:val="0"/>
          <w:i w:val="0"/>
          <w:iCs w:val="0"/>
          <w:sz w:val="22"/>
          <w:szCs w:val="22"/>
        </w:rPr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Tres, la selección: sacamos el seniority porque cuenta la misma historia que los años de experiencia —multicolinealidad—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, y excluimos toda variable derivada del propio salario para que el modelo no haga trampa copiándose la respuesta: anti-leakage.</w:t>
      </w:r>
    </w:p>
    <w:p w:rsidR="00000000" w:rsidDel="00000000" w:rsidP="00000000" w:rsidRDefault="00000000" w:rsidRPr="00000000" w14:paraId="0000003F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76" w:lineRule="auto"/>
        <w:jc w:val="both"/>
        <w:rPr>
          <w:b w:val="1"/>
          <w:bCs w:val="1"/>
          <w:i w:val="0"/>
          <w:iCs w:val="0"/>
          <w:color w:val="b88600"/>
          <w:sz w:val="23"/>
          <w:szCs w:val="23"/>
        </w:rPr>
      </w:pPr>
      <w:r w:rsidDel="00000000" w:rsidR="00000000" w:rsidRPr="00000000">
        <w:rPr>
          <w:b w:val="1"/>
          <w:bCs w:val="1"/>
          <w:i w:val="0"/>
          <w:iCs w:val="0"/>
          <w:color w:val="b88600"/>
          <w:sz w:val="23"/>
          <w:szCs w:val="23"/>
          <w:rtl w:val="0"/>
        </w:rPr>
        <w:t xml:space="preserve">SLIDE 11 — EL CASO DE LOS ROLES (~0:25)</w:t>
      </w:r>
    </w:p>
    <w:p w:rsidR="00000000" w:rsidDel="00000000" w:rsidP="00000000" w:rsidRDefault="00000000" w:rsidRPr="00000000" w14:paraId="00000041">
      <w:pPr>
        <w:spacing w:after="0" w:line="276" w:lineRule="auto"/>
        <w:jc w:val="both"/>
        <w:rPr>
          <w:b w:val="1"/>
          <w:bCs w:val="1"/>
          <w:color w:val="b88600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76" w:lineRule="auto"/>
        <w:jc w:val="both"/>
        <w:rPr>
          <w:b w:val="1"/>
          <w:bCs w:val="1"/>
          <w:i w:val="0"/>
          <w:iCs w:val="0"/>
          <w:sz w:val="22"/>
          <w:szCs w:val="22"/>
        </w:rPr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[pasar de slide]  Un ejemplo concreto: los roles. Aparecen 698 puestos escritos de mil maneras. Miren la curva ámbar: los 15 más frecuentes cubren el 90% de la gente; los otros 683 se reparten el 10%. </w:t>
      </w: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Agrupación top-N: esos 15 quedan, el resto va a «Otro».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Beneficio directo: en vez de cientos de columnas con tres casos cada una </w:t>
      </w: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—puro overfitting—</w:t>
      </w: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, dieciséis categorías con señal de verdad.</w:t>
      </w:r>
    </w:p>
    <w:p w:rsidR="00000000" w:rsidDel="00000000" w:rsidP="00000000" w:rsidRDefault="00000000" w:rsidRPr="00000000" w14:paraId="00000043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76" w:lineRule="auto"/>
        <w:jc w:val="both"/>
        <w:rPr/>
      </w:pPr>
      <w:r w:rsidDel="00000000" w:rsidR="00000000" w:rsidRPr="00000000">
        <w:rPr>
          <w:b w:val="1"/>
          <w:bCs w:val="1"/>
          <w:i w:val="0"/>
          <w:iCs w:val="0"/>
          <w:color w:val="b88600"/>
          <w:sz w:val="23"/>
          <w:szCs w:val="23"/>
          <w:rtl w:val="0"/>
        </w:rPr>
        <w:t xml:space="preserve">SLIDE 12 — LA PRUEBA CON LAS TECNOLOGÍAS (~0:40)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76" w:lineRule="auto"/>
        <w:jc w:val="both"/>
        <w:rPr>
          <w:b w:val="0"/>
          <w:bCs w:val="0"/>
          <w:i w:val="0"/>
          <w:iCs w:val="0"/>
          <w:sz w:val="22"/>
          <w:szCs w:val="22"/>
        </w:rPr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[pasar de slide]  Y la decisión más difícil: sacamos las tecnologías del modelo. Suena raro, porque Go o Rust pagan más. Pero ese premium no lo paga el lenguaje, lo paga el contexto: proyectos backend, empresas dolarizadas. Y como entrada generaba disparates: si a un perfil de soporte le marcábamos «Go», el estimador inflaba el sueldo hacia una combinación que no existe.</w:t>
      </w:r>
    </w:p>
    <w:p w:rsidR="00000000" w:rsidDel="00000000" w:rsidP="00000000" w:rsidRDefault="00000000" w:rsidRPr="00000000" w14:paraId="00000046">
      <w:pPr>
        <w:spacing w:after="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i w:val="0"/>
          <w:iCs w:val="0"/>
          <w:sz w:val="22"/>
          <w:szCs w:val="22"/>
          <w:rtl w:val="0"/>
        </w:rPr>
        <w:t xml:space="preserve">¿Cómo lo decidimos? Con un experimento: entrenamos las dos versiones y las comparamos. El gráfico lo dice todo: el R² casi no cambia —0,297 a 0,272— y el sobreajuste baja. Perdimos casi nada de precisión y ganamos robustez. Evidencia, no intuición.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76" w:lineRule="auto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En resumen: datos limpios y variables honestas; sobre esa base se apoya todo lo que viene. Qué encontramos al explorar esos datos… se los cuenta mi compañero.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907" w:top="907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Fira Mono">
    <w:embedRegular w:fontKey="{00000000-0000-0000-0000-000000000000}" r:id="rId5" w:subsetted="0"/>
    <w:embedBold w:fontKey="{00000000-0000-0000-0000-000000000000}" r:id="rId6" w:subsetted="0"/>
  </w:font>
  <w:font w:name="Nova Mono">
    <w:embedRegular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strike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strike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strike w:val="0"/>
        <w:color w:val="e2e1d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FiraMono-regular.ttf"/><Relationship Id="rId6" Type="http://schemas.openxmlformats.org/officeDocument/2006/relationships/font" Target="fonts/FiraMono-bold.ttf"/><Relationship Id="rId7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BH15lke5g4SMVlq9iShy8jWlWA==">CgMxLjAaIwoBMBIeChwIB0IYCgtDb3VyaWVyIE5ldxIJRmlyYSBNb25vGiMKATESHgocCAdCGAoLQ291cmllciBOZXcSCUZpcmEgTW9ubxojCgEyEh4KHAgHQhgKC0NvdXJpZXIgTmV3EglGaXJhIE1vbm8aHgoBMxIZChcIB0ITCgZSb2JvdG8SCU5vdmEgTW9ubxoeCgE0EhkKFwgHQhMKBlJvYm90bxIJTm92YSBNb25vGh4KATUSGQoXCAdCEwoGUm9ib3RvEglOb3ZhIE1vbm8aHgoBNhIZChcIB0ITCgZSb2JvdG8SCU5vdmEgTW9ubxoeCgE3EhkKFwgHQhMKBlJvYm90bxIJTm92YSBNb25vGh4KATgSGQoXCAdCEwoGUm9ib3RvEglOb3ZhIE1vbm8aHgoBORIZChcIB0ITCgZSb2JvdG8SCU5vdmEgTW9ubxofCgIxMBIZChcIB0ITCgZSb2JvdG8SCU5vdmEgTW9ubzgAciExYjZhVUhzVkh0Y3Y4aWpZQXZJMVRPdTUybGRzUWxnaX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