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A0A"/>
          <w:sz w:val="56"/>
        </w:rPr>
        <w:t>Mercado Laboral Tech Argentino</w:t>
      </w:r>
    </w:p>
    <w:p>
      <w:pPr>
        <w:jc w:val="center"/>
      </w:pPr>
      <w:r>
        <w:rPr>
          <w:color w:val="333333"/>
          <w:sz w:val="32"/>
        </w:rPr>
        <w:t>Análisis y predicción de salarios del sector IT</w:t>
      </w:r>
    </w:p>
    <w:p/>
    <w:p>
      <w:pPr>
        <w:jc w:val="center"/>
      </w:pPr>
      <w:r>
        <w:rPr>
          <w:b/>
          <w:i w:val="0"/>
          <w:sz w:val="24"/>
        </w:rPr>
        <w:t>Trabajo Práctico Obligatorio — Minería de Datos</w:t>
      </w:r>
    </w:p>
    <w:p>
      <w:pPr>
        <w:jc w:val="center"/>
      </w:pPr>
      <w:r>
        <w:rPr>
          <w:b w:val="0"/>
          <w:i/>
          <w:sz w:val="24"/>
        </w:rPr>
        <w:t>Documento de defensa oral</w:t>
      </w:r>
    </w:p>
    <w:p>
      <w:pPr>
        <w:jc w:val="center"/>
      </w:pPr>
      <w:r>
        <w:rPr>
          <w:b w:val="0"/>
          <w:i w:val="0"/>
          <w:sz w:val="22"/>
        </w:rPr>
        <w:t>Base: encuestas de Sysarmy 2022–2025 + contexto macroeconómico</w:t>
      </w:r>
    </w:p>
    <w:p>
      <w:pPr>
        <w:jc w:val="center"/>
      </w:pPr>
      <w:r>
        <w:rPr>
          <w:b w:val="0"/>
          <w:i w:val="0"/>
          <w:sz w:val="22"/>
        </w:rPr>
        <w:t>Integrantes: ____________________     |     Fecha: ____________</w:t>
      </w:r>
    </w:p>
    <w:p>
      <w:r>
        <w:br w:type="page"/>
      </w:r>
    </w:p>
    <w:p>
      <w:pPr>
        <w:pStyle w:val="Heading1"/>
      </w:pPr>
      <w:r>
        <w:rPr>
          <w:color w:val="0A0A0A"/>
        </w:rPr>
        <w:t>Resumen ejecutivo</w:t>
      </w:r>
    </w:p>
    <w:p>
      <w:r>
        <w:rPr>
          <w:b w:val="0"/>
          <w:i w:val="0"/>
          <w:sz w:val="22"/>
        </w:rPr>
        <w:t>Este trabajo integra seis ediciones de la encuesta salarial de Sysarmy (2022–2025) con ocho series macroeconómicas para construir un dataset único, limpio y comparable en el tiempo de 31.088 profesionales del sector tecnológico argentino. Todos los salarios se expresan en términos reales (pesos y dólares constantes de mayo 2026), neutralizando una inflación acumulada superior al 900% y la fuerte variación del tipo de cambio del período.</w:t>
      </w:r>
    </w:p>
    <w:p>
      <w:r>
        <w:rPr>
          <w:b w:val="0"/>
          <w:i w:val="0"/>
          <w:sz w:val="22"/>
        </w:rPr>
        <w:t>Sobre esa base se desarrollaron dos modelos: un Random Forest (supervisado) que estima el salario a partir del perfil, y una segmentación con K-Means (no supervisado) que descubre los arquetipos del mercado. Los resultados se exponen en una app web (Streamlit), en versiones español/pesos e inglés/dólares.</w:t>
      </w:r>
    </w:p>
    <w:p>
      <w:r>
        <w:rPr>
          <w:b w:val="0"/>
          <w:i/>
          <w:sz w:val="22"/>
        </w:rPr>
        <w:t>Hallazgo central: el perfil explica alrededor del 30% de la variación salarial —la experiencia y el rol de liderazgo son dominantes—, el poder adquisitivo real quedó estancado pese a sueldos nominales diez veces mayores y, contra la intuición, cobrar en dólares no aportó mayor estabilidad en el período.</w:t>
      </w:r>
    </w:p>
    <w:p>
      <w:pPr>
        <w:pStyle w:val="Heading1"/>
      </w:pPr>
      <w:r>
        <w:rPr>
          <w:color w:val="0A0A0A"/>
        </w:rPr>
        <w:t>Equipo, roles y estrategia</w:t>
      </w:r>
    </w:p>
    <w:p>
      <w:r>
        <w:rPr>
          <w:b w:val="0"/>
          <w:i w:val="0"/>
          <w:sz w:val="22"/>
        </w:rPr>
        <w:t>El equipo se organizó por roles complementarios, bajo una metodología iterativa inspirada en CRISP-DM (comprensión del negocio → datos → preparación → modelado → evaluación → despliegue), con control de versiones en Git y ramas por funcionalidad.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Responsabilidades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Integrante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Datos / ETL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Descarga e integración de 9 fuentes, limpieza y unificación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Feature engineering / Modelado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Variables, Random Forest, K-Means y evaluación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EDA / Visualización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Análisis exploratorio, gráficos y storytelling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 / Documentación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 Streamlit, informe y presentación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____________</w:t>
            </w:r>
          </w:p>
        </w:tc>
      </w:tr>
    </w:tbl>
    <w:p>
      <w:pPr>
        <w:pStyle w:val="Heading1"/>
      </w:pPr>
      <w:r>
        <w:rPr>
          <w:color w:val="0A0A0A"/>
        </w:rPr>
        <w:t>1. Dominio y problemática</w:t>
      </w:r>
    </w:p>
    <w:p>
      <w:r>
        <w:rPr>
          <w:b w:val="0"/>
          <w:i w:val="0"/>
          <w:sz w:val="22"/>
        </w:rPr>
        <w:t>El sector tecnológico argentino es dinámico, con alta rotación y exposición internacional. Sus salarios están atados a una macro muy volátil, lo que genera un problema concreto: no existe información integrada y comparable en el tiempo. Cada edición está en pesos de su momento, con un nivel de precios y un tipo de cambio distintos, por lo que comparar a valor nominal carece de sentido.</w:t>
      </w:r>
    </w:p>
    <w:p>
      <w:pPr>
        <w:pStyle w:val="ListBullet"/>
      </w:pPr>
      <w:r>
        <w:rPr>
          <w:b/>
        </w:rPr>
        <w:t xml:space="preserve">Fragmentación de las fuentes </w:t>
      </w:r>
      <w:r>
        <w:t>(encuesta + macro dispersa).</w:t>
      </w:r>
    </w:p>
    <w:p>
      <w:pPr>
        <w:pStyle w:val="ListBullet"/>
      </w:pPr>
      <w:r>
        <w:rPr>
          <w:b/>
        </w:rPr>
        <w:t xml:space="preserve">Falta de una medida de salario real </w:t>
      </w:r>
      <w:r>
        <w:t>comparable entre períodos.</w:t>
      </w:r>
    </w:p>
    <w:p>
      <w:pPr>
        <w:pStyle w:val="ListBullet"/>
      </w:pPr>
      <w:r>
        <w:rPr>
          <w:b/>
        </w:rPr>
        <w:t xml:space="preserve">Ausencia de una herramienta </w:t>
      </w:r>
      <w:r>
        <w:t>que traduzca el perfil en una estimación de mercado.</w:t>
      </w:r>
    </w:p>
    <w:p>
      <w:pPr>
        <w:pStyle w:val="Heading1"/>
      </w:pPr>
      <w:r>
        <w:rPr>
          <w:color w:val="0A0A0A"/>
        </w:rPr>
        <w:t>2. Hipótesis</w:t>
      </w:r>
    </w:p>
    <w:p>
      <w:r>
        <w:rPr>
          <w:b/>
          <w:i w:val="0"/>
          <w:color w:val="333333"/>
          <w:sz w:val="22"/>
        </w:rPr>
        <w:t>Hipótesis central</w:t>
      </w:r>
    </w:p>
    <w:p>
      <w:r>
        <w:rPr>
          <w:b w:val="0"/>
          <w:i/>
          <w:sz w:val="22"/>
        </w:rPr>
        <w:t>El sueldo real de un profesional tech está determinado por su perfil laboral (rol, seniority, experiencia, tecnologías) y su contexto geográfico (provincia, modalidad), una vez ajustado por el contexto macroeconómico (inflación, tipo de cambio real, competitividad).</w:t>
      </w:r>
    </w:p>
    <w:p>
      <w:r>
        <w:rPr>
          <w:b/>
          <w:i w:val="0"/>
          <w:color w:val="333333"/>
          <w:sz w:val="22"/>
        </w:rPr>
        <w:t>Hipótesis desagregadas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Hipótesis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 seniority/experiencia es la variable más predictiva.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La experiencia suma con rendimientos decrecientes.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Ciertas tecnologías tienen premium salarial.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CABA paga más que el interior, pero menos de lo que se cree.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 nominal más alto no implica mejor poder adquisitivo real.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Quienes cobran en dólares tienen poder de compra más estable.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Cuando el ITCRM sube, suben los sueldos en USD.</w:t>
            </w:r>
          </w:p>
        </w:tc>
      </w:tr>
    </w:tbl>
    <w:p>
      <w:pPr>
        <w:pStyle w:val="Heading1"/>
      </w:pPr>
      <w:r>
        <w:rPr>
          <w:color w:val="0A0A0A"/>
        </w:rPr>
        <w:t>3. Propuesta y valor para el negocio</w:t>
      </w:r>
    </w:p>
    <w:p>
      <w:r>
        <w:rPr>
          <w:b w:val="0"/>
          <w:i w:val="0"/>
          <w:sz w:val="22"/>
        </w:rPr>
        <w:t>Se construyó un pipeline reproducible que unifica las seis ediciones con ocho series macro, produce un dataset analítico único y alimenta modelos predictivos, de segmentación y una app.</w:t>
      </w:r>
    </w:p>
    <w:p>
      <w:r>
        <w:rPr>
          <w:b/>
          <w:i w:val="0"/>
          <w:sz w:val="22"/>
        </w:rPr>
        <w:t>Valor para la gerencia:</w:t>
      </w:r>
    </w:p>
    <w:p>
      <w:pPr>
        <w:pStyle w:val="ListBullet"/>
      </w:pPr>
      <w:r>
        <w:t>Benchmarking salarial objetivo para ofertas y retención.</w:t>
      </w:r>
    </w:p>
    <w:p>
      <w:pPr>
        <w:pStyle w:val="ListBullet"/>
      </w:pPr>
      <w:r>
        <w:t>Identificación de brechas y de los factores que mueven el sueldo.</w:t>
      </w:r>
    </w:p>
    <w:p>
      <w:pPr>
        <w:pStyle w:val="ListBullet"/>
      </w:pPr>
      <w:r>
        <w:t>Lectura del impacto macro (inflación y dólar) sobre el costo del talento.</w:t>
      </w:r>
    </w:p>
    <w:p>
      <w:pPr>
        <w:pStyle w:val="ListBullet"/>
      </w:pPr>
      <w:r>
        <w:t>Herramienta viva que se reentrena con cada nueva edición.</w:t>
      </w:r>
    </w:p>
    <w:p>
      <w:pPr>
        <w:pStyle w:val="Heading1"/>
      </w:pPr>
      <w:r>
        <w:rPr>
          <w:color w:val="0A0A0A"/>
        </w:rPr>
        <w:t>4. Arquitectura del pipeline y fuentes</w:t>
      </w:r>
    </w:p>
    <w:p>
      <w:r>
        <w:rPr>
          <w:b w:val="0"/>
          <w:i w:val="0"/>
          <w:sz w:val="22"/>
        </w:rPr>
        <w:t>Flujo: (1) descarga, (2) limpieza y unificación, (3) ajuste a valores reales con base común (mayo 2026) y (4) dataset final más una tabla de contexto macro vinculada por fecha de edición.</w:t>
      </w:r>
    </w:p>
    <w:p>
      <w:r>
        <w:rPr>
          <w:b/>
          <w:i w:val="0"/>
          <w:sz w:val="22"/>
        </w:rPr>
        <w:t>Fuentes integradas (9):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Fuente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Aporte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Sysarmy (6 ediciones)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Salarios y perfiles — 31.088 respuestas (2022–2025)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IPC INDEC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Inflación argentina (deflactor de pesos)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Dólar MEP (Blue, bluelytics)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Tipo de cambio histórico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 CPI (FRED)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Inflación de EE.UU. (deflactor de dólares)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CBT INDEC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Canasta básica total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RIPTE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Salario formal promedio (benchmark)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Big Mac Index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Paridad de poder adquisitivo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ITCRM (BCRA)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Tipo de cambio real multilateral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Stack Overflow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Benchmark internacional (separado)</w:t>
            </w:r>
          </w:p>
        </w:tc>
      </w:tr>
    </w:tbl>
    <w:p>
      <w:pPr>
        <w:pStyle w:val="Heading1"/>
      </w:pPr>
      <w:r>
        <w:rPr>
          <w:color w:val="0A0A0A"/>
        </w:rPr>
        <w:t>5. Limpieza de datos y dificultades resueltas</w:t>
      </w:r>
    </w:p>
    <w:p>
      <w:r>
        <w:rPr>
          <w:b w:val="0"/>
          <w:i w:val="0"/>
          <w:sz w:val="22"/>
        </w:rPr>
        <w:t>La principal complejidad no fue limpiar datos sucios —los campos son en su mayoría desplegables controlados— sino integrar y hacer comparables fuentes heterogéneas. De 32.309 filas crudas se llegó a 31.088 finales (sólo 3,8% descartado). Decisiones clave:</w:t>
      </w:r>
    </w:p>
    <w:p>
      <w:pPr>
        <w:pStyle w:val="ListBullet"/>
      </w:pPr>
      <w:r>
        <w:rPr>
          <w:b/>
        </w:rPr>
        <w:t xml:space="preserve">Armonización de esquemas: </w:t>
      </w:r>
      <w:r>
        <w:t>cada edición tenía 43–56 columnas con nombres distintos; se mapearon al mismo esquema por coincidencia de tokens.</w:t>
      </w:r>
    </w:p>
    <w:p>
      <w:pPr>
        <w:pStyle w:val="ListBullet"/>
      </w:pPr>
      <w:r>
        <w:rPr>
          <w:b/>
        </w:rPr>
        <w:t xml:space="preserve">Parseo y tipado: </w:t>
      </w:r>
      <w:r>
        <w:t>salario de texto a número, fechas, normalización de texto.</w:t>
      </w:r>
    </w:p>
    <w:p>
      <w:pPr>
        <w:pStyle w:val="ListBullet"/>
      </w:pPr>
      <w:r>
        <w:rPr>
          <w:b/>
        </w:rPr>
        <w:t xml:space="preserve">Valores faltantes: </w:t>
      </w:r>
      <w:r>
        <w:t>eliminación en columnas críticas (provincia, salario) e imputación por mediana/moda en el resto.</w:t>
      </w:r>
    </w:p>
    <w:p>
      <w:pPr>
        <w:pStyle w:val="ListBullet"/>
      </w:pPr>
      <w:r>
        <w:rPr>
          <w:b/>
        </w:rPr>
        <w:t xml:space="preserve">Ajuste por moneda nativa: </w:t>
      </w:r>
      <w:r>
        <w:t>un sueldo dolarizado no pierde valor con la inflación local; se ajusta por la inflación del país de su moneda, de modo que el cociente pesos/dólares sea un tipo de cambio coherente.</w:t>
      </w:r>
    </w:p>
    <w:p>
      <w:pPr>
        <w:pStyle w:val="ListBullet"/>
      </w:pPr>
      <w:r>
        <w:rPr>
          <w:b/>
        </w:rPr>
        <w:t xml:space="preserve">Outliers: </w:t>
      </w:r>
      <w:r>
        <w:t>se conservan marcados; sólo se descartan errores de carga evidentes (&gt;50× la mediana).</w:t>
      </w:r>
    </w:p>
    <w:p>
      <w:pPr>
        <w:pStyle w:val="Heading1"/>
      </w:pPr>
      <w:r>
        <w:rPr>
          <w:color w:val="0A0A0A"/>
        </w:rPr>
        <w:t>6. Feature engineering</w:t>
      </w:r>
    </w:p>
    <w:p>
      <w:r>
        <w:rPr>
          <w:b w:val="0"/>
          <w:i w:val="0"/>
          <w:sz w:val="22"/>
        </w:rPr>
        <w:t>El feature engineering convierte el perfil crudo en variables que el modelo puede aprovechar. Cada transformación responde a una justificación concreta:</w:t>
      </w:r>
    </w:p>
    <w:p>
      <w:pPr>
        <w:pStyle w:val="ListBullet"/>
      </w:pPr>
      <w:r>
        <w:rPr>
          <w:b/>
        </w:rPr>
        <w:t xml:space="preserve">Multi-hot de tecnologías (top 20): </w:t>
      </w:r>
      <w:r>
        <w:t>el campo es texto libre multivaluado («python, sql, java»). Se generó una variable binaria por tecnología frecuente. Justificación: permite que el modelo capte el premium de cada tecnología por separado; un campo de texto no es utilizable directamente.</w:t>
      </w:r>
    </w:p>
    <w:p>
      <w:pPr>
        <w:pStyle w:val="ListBullet"/>
      </w:pPr>
      <w:r>
        <w:rPr>
          <w:b/>
        </w:rPr>
        <w:t xml:space="preserve">Agrupación de roles (698 → top 15 + «Otro»): </w:t>
      </w:r>
      <w:r>
        <w:t>las categorías con pocos casos producen dummies ruidosas y overfitting; agruparlas concentra la señal.</w:t>
      </w:r>
    </w:p>
    <w:p>
      <w:pPr>
        <w:pStyle w:val="ListBullet"/>
      </w:pPr>
      <w:r>
        <w:rPr>
          <w:b/>
        </w:rPr>
        <w:t xml:space="preserve">Agrupación de provincias (&lt;100 registros → «Otra»): </w:t>
      </w:r>
      <w:r>
        <w:t>misma justificación que en los roles.</w:t>
      </w:r>
    </w:p>
    <w:p>
      <w:pPr>
        <w:pStyle w:val="ListBullet"/>
      </w:pPr>
      <w:r>
        <w:rPr>
          <w:b/>
        </w:rPr>
        <w:t xml:space="preserve">One-hot de las categóricas </w:t>
      </w:r>
      <w:r>
        <w:t>(provincia, género, modalidad, tamaño de empresa, rol, cobra en dólares): los modelos requieren entradas numéricas y el one-hot no impone un orden falso.</w:t>
      </w:r>
    </w:p>
    <w:p>
      <w:pPr>
        <w:pStyle w:val="ListBullet"/>
      </w:pPr>
      <w:r>
        <w:rPr>
          <w:b/>
        </w:rPr>
        <w:t xml:space="preserve">Ingeniería del target: </w:t>
      </w:r>
      <w:r>
        <w:t>el salario nominal se transformó en salario real (deflación por IPC para pesos y por US CPI para dólares, base mayo 2026). Justificación: es lo que hace comparable el objetivo entre ediciones; sin esto el modelo aprendería el paso del tiempo, no el perfil.</w:t>
      </w:r>
    </w:p>
    <w:p>
      <w:pPr>
        <w:pStyle w:val="ListBullet"/>
      </w:pPr>
      <w:r>
        <w:rPr>
          <w:b/>
        </w:rPr>
        <w:t xml:space="preserve">Selección de variables: </w:t>
      </w:r>
      <w:r>
        <w:t>se excluyó «seniority» por ser redundante con los años de experiencia (multicolinealidad), y se excluyeron las variables derivadas del propio salario (USD, canastas básicas) para evitar fuga de información (data leakage).</w:t>
      </w:r>
    </w:p>
    <w:p>
      <w:r>
        <w:rPr>
          <w:b w:val="0"/>
          <w:i/>
          <w:sz w:val="22"/>
        </w:rPr>
        <w:t>Las variables numéricas se estandarizan dentro de un Pipeline de scikit-learn —ajustado sólo con los datos de entrenamiento— para los modelos lineales; los árboles no lo requieren. Este encapsulado garantiza que no haya filtración entre train y test.</w:t>
      </w:r>
    </w:p>
    <w:p>
      <w:pPr>
        <w:pStyle w:val="Heading1"/>
      </w:pPr>
      <w:r>
        <w:rPr>
          <w:color w:val="0A0A0A"/>
        </w:rPr>
        <w:t>7. Análisis exploratorio (EDA)</w:t>
      </w:r>
    </w:p>
    <w:p>
      <w:r>
        <w:rPr>
          <w:b w:val="0"/>
          <w:i w:val="0"/>
          <w:sz w:val="22"/>
        </w:rPr>
        <w:t>Todo se analiza en moneda real de mayo 2026. La mediana del mercado es de $3,19 M (USD 2.264) mensuales brutos.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65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b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 Distribución de salarios reales (pesos y dólares).</w:t>
      </w:r>
    </w:p>
    <w:p>
      <w:r>
        <w:rPr>
          <w:b w:val="0"/>
          <w:i w:val="0"/>
          <w:sz w:val="22"/>
        </w:rPr>
        <w:t>Seniority ordena el salario casi sin solapamiento (mediana junior $1,8 M; senior $4,3 M). CABA paga +24% que el interior y el trabajo remoto +43% en dólares que el presencial. El premium por tecnología depende de cuál se use (Go +45%, Rust +48%, Python +13%), no de cuántas.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58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4_tecnolog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2. Frecuencia y premium salarial por tecnología.</w:t>
      </w:r>
    </w:p>
    <w:p>
      <w:pPr>
        <w:pStyle w:val="Heading1"/>
      </w:pPr>
      <w:r>
        <w:rPr>
          <w:color w:val="0A0A0A"/>
        </w:rPr>
        <w:t>8. Modelado supervisado — Random Forest</w:t>
      </w:r>
    </w:p>
    <w:p>
      <w:r>
        <w:rPr>
          <w:b w:val="0"/>
          <w:i w:val="0"/>
          <w:sz w:val="22"/>
        </w:rPr>
        <w:t>Variable objetivo: el salario real (entrenado en pesos y, en paralelo, en dólares; como difieren sólo en una constante, el R² es idéntico). Se compararon cinco técnicas con validación temporal: se entrena con las ediciones previas y se evalúa sobre la última (2025.2), nunca vista.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Modelo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R² (test)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RMSE (test)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Overfitting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Regresión lineal simple (sólo experiencia)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$2,18 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Regresión lineal múltiple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0.24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$2,05 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Regresión polinómica (grado 2)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0.29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$1,98 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Árbol de decisión (prof. 5)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$2,08 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Random Forest (regularizado)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0.30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$1,97 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</w:tr>
    </w:tbl>
    <w:p>
      <w:r>
        <w:rPr>
          <w:b/>
          <w:i w:val="0"/>
          <w:color w:val="333333"/>
          <w:sz w:val="22"/>
        </w:rPr>
        <w:t>Por qué elegimos Random Forest</w:t>
      </w:r>
    </w:p>
    <w:p>
      <w:r>
        <w:rPr>
          <w:b w:val="0"/>
          <w:i w:val="0"/>
          <w:sz w:val="22"/>
        </w:rPr>
        <w:t>Se eligió por cinco razones: (1) mejor desempeño en test (R²≈0,30; MAE $1,42 M); (2) captura no linealidades e interacciones sin ingeniería manual —por ejemplo, el rendimiento decreciente de la experiencia—; (3) es robusto a outliers y a la mezcla de escalas, y no requiere estandarización; (4) regularizado (profundidad máxima y mínimo de hojas) no presenta overfitting (train ≈ test); y (5) entrega la importancia de cada variable, aportando interpretabilidad para la lectura de negocio. Frente a los modelos lineales (que no capturan interacciones) y al árbol único (inestable y propenso a overfitting), el bosque ofrece el mejor balance entre precisión, robustez e interpretabilidad.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076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s_importancia_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76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3. Importancia de variables (Random Forest).</w:t>
      </w:r>
    </w:p>
    <w:p>
      <w:r>
        <w:rPr>
          <w:b w:val="0"/>
          <w:i w:val="0"/>
          <w:sz w:val="22"/>
        </w:rPr>
        <w:t>Las variables más predictivas son la experiencia, la edad, el uso de Go, el rol de liderazgo y trabajar en CABA. El techo de ~0,30 es esperable y honesto: cerca de dos tercios de la variación dependen de factores no encuestados (empresa puntual, negociación). La validación temporal (R²=0,30) es muy cercana a la aleatoria (R²=0,33): el modelo generaliza bien al presente.</w:t>
      </w:r>
    </w:p>
    <w:p>
      <w:pPr>
        <w:pStyle w:val="Heading1"/>
      </w:pPr>
      <w:r>
        <w:rPr>
          <w:color w:val="0A0A0A"/>
        </w:rPr>
        <w:t>9. Segmentación — K-Means</w:t>
      </w:r>
    </w:p>
    <w:p>
      <w:r>
        <w:rPr>
          <w:b w:val="0"/>
          <w:i w:val="0"/>
          <w:sz w:val="22"/>
        </w:rPr>
        <w:t>Con K-Means se agruparon los perfiles sin usar el salario, y luego se observó cuánto gana cada grupo. El número de segmentos (k=4) se eligió con el método del codo y la silueta. Para visualizarlos se aplicó PCA: el Componente 1 (48% de la variación) representa los años de carrera (junior→senior) y el Componente 2 (15%) la antigüedad/rotación en la empresa.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4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s_b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4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4. Mapa de segmentos (PCA) y salario por arquetipo.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Segmento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%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Perfil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Salario mediano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Exportador joven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21%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31 años, 5 exp, 100% USD, remoto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$2,81 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Senior / Líder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21%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42 años, 15 exp, managers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$4,43 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Dev local junior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49%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 años, 3 exp, cobra en pesos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$2,76 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Corporativo senior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44 años, 18 exp, empresas grandes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$3,98 M</w:t>
            </w:r>
          </w:p>
        </w:tc>
      </w:tr>
    </w:tbl>
    <w:p>
      <w:r>
        <w:rPr>
          <w:b/>
          <w:i w:val="0"/>
          <w:color w:val="333333"/>
          <w:sz w:val="22"/>
        </w:rPr>
        <w:t>Nota para la defensa — por qué los grupos se ven solapados en el gráfico:</w:t>
      </w:r>
    </w:p>
    <w:p>
      <w:r>
        <w:rPr>
          <w:b w:val="0"/>
          <w:i w:val="0"/>
          <w:sz w:val="22"/>
        </w:rPr>
        <w:t>K-Means asigna cada punto a su centroide más cercano en el espacio completo (lo verificamos: el 100% de los casos). En el scatter se ven solapados porque es una proyección 2D (PCA) que muestra sólo el 62% de la información —pierde el 38% que separa a los grupos— y porque los perfiles forman un continuo sin fronteras naturales (la transición junior→senior es gradual). No es un error del modelo: en las dimensiones reales los segmentos tienen perfiles nítidamente distintos (ver la tabla de medias por segmento).</w:t>
      </w:r>
    </w:p>
    <w:p>
      <w:pPr>
        <w:pStyle w:val="Heading1"/>
      </w:pPr>
      <w:r>
        <w:rPr>
          <w:color w:val="0A0A0A"/>
        </w:rPr>
        <w:t>10. Resultados y storytelling</w:t>
      </w:r>
    </w:p>
    <w:p>
      <w:r>
        <w:rPr>
          <w:b/>
          <w:i w:val="0"/>
          <w:sz w:val="22"/>
        </w:rPr>
        <w:t>Validación de las hipótesis: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Distribuciones casi sin solape; el predictor más fuerte.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0→3 años: +85%; 10→13 años: +3% (plateau).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Parcial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Premium real, pero liderado por Go/Rust, no sólo Python.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CABA +24% vs interior; remoto +43% en USD.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Brecha nominal–real promedio de −62%.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Refutada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Los dolarizados tuvieron MÁS volatilidad real (CV 0,23 vs 0,14).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Indicio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Correlación 0,70 pero no significativa (n=6).</w:t>
            </w:r>
          </w:p>
        </w:tc>
      </w:tr>
    </w:tbl>
    <w:p>
      <w:r>
        <w:rPr>
          <w:b/>
          <w:i w:val="0"/>
          <w:color w:val="333333"/>
          <w:sz w:val="22"/>
        </w:rPr>
        <w:t>Brechas salariales, inflación y comparativa regional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03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6_poder_adquisiti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5. Salario nominal vs real y brecha por registro.</w:t>
      </w:r>
    </w:p>
    <w:p>
      <w:r>
        <w:rPr>
          <w:b w:val="0"/>
          <w:i w:val="0"/>
          <w:sz w:val="22"/>
        </w:rPr>
        <w:t>El número nominal creció diez veces, pero casi todo fue inflación: en pesos reales el poder de compra se mantuvo estancado (brecha −62%). En lo regional, CABA y las grandes empresas pagan más, y el stack backend (Go/Rust) concentra el premium. Contra la creencia general, cobrar en dólares no dio más estabilidad: el dólar protege de la inflación pero expone a la apreciación real del peso —fue escudo en 2022–2023 y lastre en 2024–2026—.</w:t>
      </w:r>
    </w:p>
    <w:p>
      <w:r>
        <w:rPr>
          <w:b/>
          <w:i w:val="0"/>
          <w:color w:val="333333"/>
          <w:sz w:val="22"/>
        </w:rPr>
        <w:t>Evolución del poder de compra en el tiempo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80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ucion_ind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6. Salario medido en distintas varas (base 2022.2 = 100).</w:t>
      </w:r>
    </w:p>
    <w:p>
      <w:r>
        <w:rPr>
          <w:b w:val="0"/>
          <w:i w:val="0"/>
          <w:sz w:val="22"/>
        </w:rPr>
        <w:t>Medido en distintas «varas» (base 2022.2 = 100), el poder de compra del salario tocó un pico en enero 2024 tras la devaluación —el ratio contra el salario formal (RIPTE) saltó a 169, es decir, los profesionales tech se despegaron del resto del mercado— y se recuperó hacia 2025.2. Medido en canastas básicas quedó más apretado. El Big Mac se descartó de esta comparación por ser un dato anual desactualizado que distorsiona la serie.</w:t>
      </w:r>
    </w:p>
    <w:p>
      <w:r>
        <w:rPr>
          <w:b/>
          <w:i w:val="0"/>
          <w:color w:val="333333"/>
          <w:sz w:val="22"/>
        </w:rPr>
        <w:t>Comparativa internacional (Stack Overflow)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47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mun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7. Salario mediano de developers por país (USD/mes).</w:t>
      </w:r>
    </w:p>
    <w:p>
      <w:r>
        <w:rPr>
          <w:b w:val="0"/>
          <w:i w:val="0"/>
          <w:sz w:val="22"/>
        </w:rPr>
        <w:t>Según la encuesta global de Stack Overflow, el developer argentino gana una mediana de USD 3.333 mensuales: por encima de Brasil, Ucrania e India, pero muy por debajo de Europa y de EE.UU. (USD 12.500). La medición de Sysarmy es más conservadora (USD 2.264) porque Stack Overflow capta perfiles más internacionales y senior. Replicar el modelo predictivo a nivel internacional es una línea de trabajo futura: exigiría rehacer el feature engineering, incorporar el país como variable dominante y ajustar por poder adquisitivo entre países.</w:t>
      </w:r>
    </w:p>
    <w:p>
      <w:pPr>
        <w:pStyle w:val="Heading1"/>
      </w:pPr>
      <w:r>
        <w:rPr>
          <w:color w:val="0A0A0A"/>
        </w:rPr>
        <w:t>11. La herramienta (aplicación web)</w:t>
      </w:r>
    </w:p>
    <w:p>
      <w:r>
        <w:rPr>
          <w:b w:val="0"/>
          <w:i w:val="0"/>
          <w:sz w:val="22"/>
        </w:rPr>
        <w:t>Los resultados se entregan en una app Streamlit con tres secciones: un estimador de salario (Random Forest), un EDA navegable y la segmentación de mercado. Dos versiones:</w:t>
      </w:r>
    </w:p>
    <w:p>
      <w:pPr>
        <w:pStyle w:val="ListBullet"/>
      </w:pPr>
      <w:r>
        <w:t>Español / pesos reales — streamlit run app/main.py</w:t>
      </w:r>
    </w:p>
    <w:p>
      <w:pPr>
        <w:pStyle w:val="ListBullet"/>
      </w:pPr>
      <w:r>
        <w:t>Inglés / dólares reales — streamlit run app_en/main.py</w:t>
      </w:r>
    </w:p>
    <w:p>
      <w:pPr>
        <w:pStyle w:val="Heading1"/>
      </w:pPr>
      <w:r>
        <w:rPr>
          <w:color w:val="0A0A0A"/>
        </w:rPr>
        <w:t>12. Conclusiones</w:t>
      </w:r>
    </w:p>
    <w:p>
      <w:r>
        <w:rPr>
          <w:b/>
          <w:i w:val="0"/>
          <w:sz w:val="22"/>
        </w:rPr>
        <w:t>Principales hallazgos:</w:t>
      </w:r>
    </w:p>
    <w:p>
      <w:pPr>
        <w:pStyle w:val="ListBullet"/>
      </w:pPr>
      <w:r>
        <w:t>El perfil explica ~30% del sueldo; experiencia y rol de liderazgo son lo decisivo.</w:t>
      </w:r>
    </w:p>
    <w:p>
      <w:pPr>
        <w:pStyle w:val="ListBullet"/>
      </w:pPr>
      <w:r>
        <w:t>El poder adquisitivo real quedó estancado pese a nominales 10× mayores.</w:t>
      </w:r>
    </w:p>
    <w:p>
      <w:pPr>
        <w:pStyle w:val="ListBullet"/>
      </w:pPr>
      <w:r>
        <w:t>Dolarizarse no garantizó ni mayor premium ni mayor estabilidad.</w:t>
      </w:r>
    </w:p>
    <w:p>
      <w:pPr>
        <w:pStyle w:val="ListBullet"/>
      </w:pPr>
      <w:r>
        <w:t>CABA, las grandes empresas y el stack backend concentran los mejores sueldos.</w:t>
      </w:r>
    </w:p>
    <w:p>
      <w:r>
        <w:rPr>
          <w:b/>
          <w:i w:val="0"/>
          <w:sz w:val="22"/>
        </w:rPr>
        <w:t>Valor estratégico para la gerencia:</w:t>
      </w:r>
    </w:p>
    <w:p>
      <w:pPr>
        <w:pStyle w:val="ListBullet"/>
      </w:pPr>
      <w:r>
        <w:t>Benchmarking salarial objetivo y segmentado por arquetipo.</w:t>
      </w:r>
    </w:p>
    <w:p>
      <w:pPr>
        <w:pStyle w:val="ListBullet"/>
      </w:pPr>
      <w:r>
        <w:t>Lectura del costo del talento frente al contexto macroeconómico.</w:t>
      </w:r>
    </w:p>
    <w:p>
      <w:pPr>
        <w:pStyle w:val="ListBullet"/>
      </w:pPr>
      <w:r>
        <w:t>Decisiones de oferta y retención basadas en datos, con una herramienta reutilizable.</w:t>
      </w:r>
    </w:p>
    <w:p>
      <w:r>
        <w:br w:type="page"/>
      </w:r>
    </w:p>
    <w:p>
      <w:pPr>
        <w:pStyle w:val="Heading1"/>
      </w:pPr>
      <w:r>
        <w:rPr>
          <w:color w:val="0A0A0A"/>
        </w:rPr>
        <w:t>Anexo — Guion de defensa oral</w:t>
      </w:r>
    </w:p>
    <w:p>
      <w:pPr>
        <w:pStyle w:val="ListNumber"/>
      </w:pPr>
      <w:r>
        <w:rPr>
          <w:b/>
        </w:rPr>
        <w:t xml:space="preserve">Portada: </w:t>
      </w:r>
      <w:r>
        <w:t>Presentarse y enunciar el tema.</w:t>
      </w:r>
    </w:p>
    <w:p>
      <w:pPr>
        <w:pStyle w:val="ListNumber"/>
      </w:pPr>
      <w:r>
        <w:rPr>
          <w:b/>
        </w:rPr>
        <w:t xml:space="preserve">Equipo y estrategia: </w:t>
      </w:r>
      <w:r>
        <w:t>Roles del grupo y metodología (CRISP-DM).</w:t>
      </w:r>
    </w:p>
    <w:p>
      <w:pPr>
        <w:pStyle w:val="ListNumber"/>
      </w:pPr>
      <w:r>
        <w:rPr>
          <w:b/>
        </w:rPr>
        <w:t xml:space="preserve">Dominio: </w:t>
      </w:r>
      <w:r>
        <w:t>El problema: info fragmentada y no comparable. Hipótesis central.</w:t>
      </w:r>
    </w:p>
    <w:p>
      <w:pPr>
        <w:pStyle w:val="ListNumber"/>
      </w:pPr>
      <w:r>
        <w:rPr>
          <w:b/>
        </w:rPr>
        <w:t xml:space="preserve">Hipótesis: </w:t>
      </w:r>
      <w:r>
        <w:t>Enunciar H1–H7.</w:t>
      </w:r>
    </w:p>
    <w:p>
      <w:pPr>
        <w:pStyle w:val="ListNumber"/>
      </w:pPr>
      <w:r>
        <w:rPr>
          <w:b/>
        </w:rPr>
        <w:t xml:space="preserve">Propuesta y valor: </w:t>
      </w:r>
      <w:r>
        <w:t>Qué construimos y para qué le sirve a la gerencia.</w:t>
      </w:r>
    </w:p>
    <w:p>
      <w:pPr>
        <w:pStyle w:val="ListNumber"/>
      </w:pPr>
      <w:r>
        <w:rPr>
          <w:b/>
        </w:rPr>
        <w:t xml:space="preserve">Fuentes: </w:t>
      </w:r>
      <w:r>
        <w:t>Las 9 fuentes integradas.</w:t>
      </w:r>
    </w:p>
    <w:p>
      <w:pPr>
        <w:pStyle w:val="ListNumber"/>
      </w:pPr>
      <w:r>
        <w:rPr>
          <w:b/>
        </w:rPr>
        <w:t xml:space="preserve">Pipeline: </w:t>
      </w:r>
      <w:r>
        <w:t>El flujo de 4 pasos.</w:t>
      </w:r>
    </w:p>
    <w:p>
      <w:pPr>
        <w:pStyle w:val="ListNumber"/>
      </w:pPr>
      <w:r>
        <w:rPr>
          <w:b/>
        </w:rPr>
        <w:t xml:space="preserve">Limpieza: </w:t>
      </w:r>
      <w:r>
        <w:t>Foco: armonización, faltantes, moneda nativa, outliers.</w:t>
      </w:r>
    </w:p>
    <w:p>
      <w:pPr>
        <w:pStyle w:val="ListNumber"/>
      </w:pPr>
      <w:r>
        <w:rPr>
          <w:b/>
        </w:rPr>
        <w:t xml:space="preserve">Feature engineering: </w:t>
      </w:r>
      <w:r>
        <w:t>Foco: multi-hot, agrupaciones, target real, anti-leakage.</w:t>
      </w:r>
    </w:p>
    <w:p>
      <w:pPr>
        <w:pStyle w:val="ListNumber"/>
      </w:pPr>
      <w:r>
        <w:rPr>
          <w:b/>
        </w:rPr>
        <w:t xml:space="preserve">EDA distribución: </w:t>
      </w:r>
      <w:r>
        <w:t>Trabajamos en moneda real; mediana $3,19M / USD 2.264.</w:t>
      </w:r>
    </w:p>
    <w:p>
      <w:pPr>
        <w:pStyle w:val="ListNumber"/>
      </w:pPr>
      <w:r>
        <w:rPr>
          <w:b/>
        </w:rPr>
        <w:t xml:space="preserve">EDA seniority/geo: </w:t>
      </w:r>
      <w:r>
        <w:t>H1 y H4.</w:t>
      </w:r>
    </w:p>
    <w:p>
      <w:pPr>
        <w:pStyle w:val="ListNumber"/>
      </w:pPr>
      <w:r>
        <w:rPr>
          <w:b/>
        </w:rPr>
        <w:t xml:space="preserve">EDA tecnologías: </w:t>
      </w:r>
      <w:r>
        <w:t>H3: premium por stack.</w:t>
      </w:r>
    </w:p>
    <w:p>
      <w:pPr>
        <w:pStyle w:val="ListNumber"/>
      </w:pPr>
      <w:r>
        <w:rPr>
          <w:b/>
        </w:rPr>
        <w:t xml:space="preserve">Dispersión / ejes: </w:t>
      </w:r>
      <w:r>
        <w:t>K-Means y la lectura del PCA; 4 arquetipos.</w:t>
      </w:r>
    </w:p>
    <w:p>
      <w:pPr>
        <w:pStyle w:val="ListNumber"/>
      </w:pPr>
      <w:r>
        <w:rPr>
          <w:b/>
        </w:rPr>
        <w:t xml:space="preserve">Variable target: </w:t>
      </w:r>
      <w:r>
        <w:t>Salario real, no nominal; dos unidades.</w:t>
      </w:r>
    </w:p>
    <w:p>
      <w:pPr>
        <w:pStyle w:val="ListNumber"/>
      </w:pPr>
      <w:r>
        <w:rPr>
          <w:b/>
        </w:rPr>
        <w:t xml:space="preserve">Comparación de modelos: </w:t>
      </w:r>
      <w:r>
        <w:t>5 técnicas; gana RF.</w:t>
      </w:r>
    </w:p>
    <w:p>
      <w:pPr>
        <w:pStyle w:val="ListNumber"/>
      </w:pPr>
      <w:r>
        <w:rPr>
          <w:b/>
        </w:rPr>
        <w:t xml:space="preserve">Por qué RF: </w:t>
      </w:r>
      <w:r>
        <w:t>Las 5 razones.</w:t>
      </w:r>
    </w:p>
    <w:p>
      <w:pPr>
        <w:pStyle w:val="ListNumber"/>
      </w:pPr>
      <w:r>
        <w:rPr>
          <w:b/>
        </w:rPr>
        <w:t xml:space="preserve">Dificultades: </w:t>
      </w:r>
      <w:r>
        <w:t>Lucirse con las decisiones metodológicas.</w:t>
      </w:r>
    </w:p>
    <w:p>
      <w:pPr>
        <w:pStyle w:val="ListNumber"/>
      </w:pPr>
      <w:r>
        <w:rPr>
          <w:b/>
        </w:rPr>
        <w:t xml:space="preserve">Resultados: </w:t>
      </w:r>
      <w:r>
        <w:t>H1–H7, inflación (−62%), regional y dolarización (H6 refutada).</w:t>
      </w:r>
    </w:p>
    <w:p>
      <w:pPr>
        <w:pStyle w:val="ListNumber"/>
      </w:pPr>
      <w:r>
        <w:rPr>
          <w:b/>
        </w:rPr>
        <w:t xml:space="preserve">Demo: </w:t>
      </w:r>
      <w:r>
        <w:t>Mostrar la app en vivo.</w:t>
      </w:r>
    </w:p>
    <w:p>
      <w:pPr>
        <w:pStyle w:val="ListNumber"/>
      </w:pPr>
      <w:r>
        <w:rPr>
          <w:b/>
        </w:rPr>
        <w:t xml:space="preserve">Conclusiones: </w:t>
      </w:r>
      <w:r>
        <w:t>Hallazgos y valor estratégico.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