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A0A0A"/>
          <w:sz w:val="26"/>
        </w:rPr>
        <w:t>GUIONES PARTES 4–6 — NUMERACIÓN Y CONTENIDO ACTUALIZADOS</w:t>
      </w:r>
    </w:p>
    <w:p>
      <w:pPr>
        <w:spacing w:after="240"/>
        <w:jc w:val="center"/>
      </w:pPr>
      <w:r>
        <w:rPr>
          <w:b w:val="0"/>
          <w:i/>
          <w:color w:val="555555"/>
          <w:sz w:val="18"/>
        </w:rPr>
        <w:t>Deck actual: 24 slides. Cambios respecto de la versión anterior marcados como [CAMBIO].</w:t>
      </w:r>
    </w:p>
    <w:p>
      <w:pPr>
        <w:spacing w:after="60"/>
      </w:pPr>
      <w:r>
        <w:rPr>
          <w:b/>
          <w:i w:val="0"/>
          <w:color w:val="0A0A0A"/>
          <w:sz w:val="25"/>
        </w:rPr>
        <w:t>IGNACIO BELUGE — EDA (SLIDES 13–16)</w:t>
      </w:r>
    </w:p>
    <w:p>
      <w:pPr>
        <w:spacing w:after="160"/>
      </w:pPr>
      <w:r>
        <w:rPr>
          <w:b w:val="0"/>
          <w:i/>
          <w:color w:val="B03020"/>
          <w:sz w:val="19"/>
        </w:rPr>
        <w:t>[CAMBIO] Solo se corre la numeración: 10→13, 11→14, 12→15, 13→16. El contenido queda igual.</w:t>
      </w:r>
    </w:p>
    <w:p>
      <w:pPr>
        <w:spacing w:after="60"/>
      </w:pPr>
      <w:r>
        <w:rPr>
          <w:b/>
          <w:i w:val="0"/>
          <w:color w:val="B88600"/>
          <w:sz w:val="22"/>
        </w:rPr>
        <w:t>SLIDE 13 — DISTRIBUCIÓN DE SALARIOS</w:t>
      </w:r>
    </w:p>
    <w:p>
      <w:pPr>
        <w:spacing w:after="140"/>
      </w:pPr>
      <w:r>
        <w:rPr>
          <w:b w:val="0"/>
          <w:i w:val="0"/>
          <w:sz w:val="22"/>
        </w:rPr>
        <w:t>Ahora les muestro qué encontramos al analizarlo. Antes que nada, algo importante: todo lo que ven acá está en moneda real de mayo 2026. A todos los sueldos les descontamos la inflación y los llevamos a un mismo valor, así comparar entre 2022 y 2025 tiene sentido.</w:t>
      </w:r>
    </w:p>
    <w:p>
      <w:pPr>
        <w:spacing w:after="140"/>
      </w:pPr>
      <w:r>
        <w:rPr>
          <w:b w:val="0"/>
          <w:i w:val="0"/>
          <w:sz w:val="22"/>
        </w:rPr>
        <w:t>La mediana del mercado es 3,19 millones de pesos por mes, unos 2.264 dólares. La forma no es simétrica, está corrida a la derecha: la mayoría se concentra en sueldos medios y hay una cola de salarios altos. Por eso trabajamos con la mediana y no con el promedio: representa mejor lo que gana la persona típica del sector.</w:t>
      </w:r>
    </w:p>
    <w:p>
      <w:pPr>
        <w:spacing w:after="60"/>
      </w:pPr>
      <w:r>
        <w:rPr>
          <w:b/>
          <w:i w:val="0"/>
          <w:color w:val="B88600"/>
          <w:sz w:val="22"/>
        </w:rPr>
        <w:t>SLIDE 14 — SENIORITY, MODALIDAD Y PROVINCIAS</w:t>
      </w:r>
    </w:p>
    <w:p>
      <w:pPr>
        <w:spacing w:after="140"/>
      </w:pPr>
      <w:r>
        <w:rPr>
          <w:b w:val="0"/>
          <w:i w:val="0"/>
          <w:sz w:val="22"/>
        </w:rPr>
        <w:t>¿Qué mueve ese sueldo? Lo primero, el seniority. Ordena el salario casi sin solaparse: un junior tiene una mediana de 1,8 millones, un senior de 4,3 millones. Más del doble. La experiencia es el factor más determinante.</w:t>
      </w:r>
    </w:p>
    <w:p>
      <w:pPr>
        <w:spacing w:after="140"/>
      </w:pPr>
      <w:r>
        <w:rPr>
          <w:b w:val="0"/>
          <w:i w:val="0"/>
          <w:sz w:val="22"/>
        </w:rPr>
        <w:t>Después, la geografía y la modalidad. CABA paga un 24% más que el interior. Y el trabajo remoto paga un 43% más en dólares que el presencial; tiene lógica, muchas veces con empresas de afuera.</w:t>
      </w:r>
    </w:p>
    <w:p>
      <w:pPr>
        <w:spacing w:after="60"/>
      </w:pPr>
      <w:r>
        <w:rPr>
          <w:b/>
          <w:i w:val="0"/>
          <w:color w:val="B88600"/>
          <w:sz w:val="22"/>
        </w:rPr>
        <w:t>SLIDE 15 — TECNOLOGÍAS</w:t>
      </w:r>
    </w:p>
    <w:p>
      <w:pPr>
        <w:spacing w:after="140"/>
      </w:pPr>
      <w:r>
        <w:rPr>
          <w:b w:val="0"/>
          <w:i w:val="0"/>
          <w:sz w:val="22"/>
        </w:rPr>
        <w:t>Con las tecnologías encontramos algo clave: el premium no lo da la cantidad de tecnologías que sabés, sino cuáles. Las que pagan una prima son las de nicho: Go un 45% más, Rust un 48%, Scala un 42%. Algo masivo como Python paga un 13%, y el frontend web, tipo CSS o HTML, queda por debajo de la media.</w:t>
      </w:r>
    </w:p>
    <w:p>
      <w:pPr>
        <w:spacing w:after="60"/>
      </w:pPr>
      <w:r>
        <w:rPr>
          <w:b/>
          <w:i w:val="0"/>
          <w:color w:val="B88600"/>
          <w:sz w:val="22"/>
        </w:rPr>
        <w:t>SLIDE 16 — CÓMO SE ELIGIERON LOS EJES (PCA)</w:t>
      </w:r>
    </w:p>
    <w:p>
      <w:pPr>
        <w:spacing w:after="240"/>
      </w:pPr>
      <w:r>
        <w:rPr>
          <w:b w:val="0"/>
          <w:i w:val="0"/>
          <w:sz w:val="22"/>
        </w:rPr>
        <w:t>Quisimos ver si el mercado se agrupa en tipos de profesionales. Para poder visualizar eso usamos una técnica llamada PCA, que comprime todas las variables del perfil en solo dos ejes. El eje horizontal representa la carrera, de junior a senior; el vertical, la antigüedad y rotación en la empresa. La idea es simple: puntos cercanos son perfiles parecidos. Sobre este mapa armamos la segmentación del mercado.</w:t>
      </w:r>
    </w:p>
    <w:p>
      <w:pPr>
        <w:spacing w:after="60"/>
      </w:pPr>
      <w:r>
        <w:rPr>
          <w:b/>
          <w:i w:val="0"/>
          <w:color w:val="0A0A0A"/>
          <w:sz w:val="25"/>
        </w:rPr>
        <w:t>ESTEBAN GUEICHA — MODELADO (SLIDES 17–21)</w:t>
      </w:r>
    </w:p>
    <w:p>
      <w:pPr>
        <w:spacing w:after="160"/>
      </w:pPr>
      <w:r>
        <w:rPr>
          <w:b w:val="0"/>
          <w:i/>
          <w:color w:val="B03020"/>
          <w:sz w:val="19"/>
        </w:rPr>
        <w:t>[CAMBIO] Numeración: 14→17, 15→18, 16→19, 17→20, 18→21. Además: el R² ya no es 0,30 sino 0,27 (sacamos las tecnologías del modelo), RF empata con la polinómica, y en dificultades las tecnologías ya no se agrupan: se excluyen.</w:t>
      </w:r>
    </w:p>
    <w:p>
      <w:pPr>
        <w:spacing w:after="60"/>
      </w:pPr>
      <w:r>
        <w:rPr>
          <w:b/>
          <w:i w:val="0"/>
          <w:color w:val="B88600"/>
          <w:sz w:val="22"/>
        </w:rPr>
        <w:t>SLIDE 17 — VARIABLE TARGET</w:t>
      </w:r>
    </w:p>
    <w:p>
      <w:pPr>
        <w:spacing w:after="140"/>
      </w:pPr>
      <w:r>
        <w:rPr>
          <w:b w:val="0"/>
          <w:i w:val="0"/>
          <w:sz w:val="22"/>
        </w:rPr>
        <w:t>Antes de modelar, definimos qué vamos a predecir. Y acá hay una decisión clave: no predecimos el sueldo nominal, sino el sueldo real, ajustado por inflación a valores de mayo de 2026. ¿Por qué? Porque en estos tres años los sueldos nominales se multiplicaron por diez, pero casi todo fue inflación. Si entrenáramos con el número nominal, el modelo aprendería «el paso del tiempo» en vez del perfil de la persona. Lo calculamos en dos unidades —pesos reales y dólares reales— que difieren solo en una constante, por eso dan el mismo R².</w:t>
      </w:r>
    </w:p>
    <w:p>
      <w:pPr>
        <w:spacing w:after="60"/>
      </w:pPr>
      <w:r>
        <w:rPr>
          <w:b/>
          <w:i w:val="0"/>
          <w:color w:val="B88600"/>
          <w:sz w:val="22"/>
        </w:rPr>
        <w:t>SLIDE 18 — CINCO TÉCNICAS COMPARADAS</w:t>
      </w:r>
    </w:p>
    <w:p>
      <w:pPr>
        <w:spacing w:after="140"/>
      </w:pPr>
      <w:r>
        <w:rPr>
          <w:b w:val="0"/>
          <w:i w:val="0"/>
          <w:sz w:val="22"/>
        </w:rPr>
        <w:t>Comparamos cinco modelos, de menor a mayor complejidad: regresión lineal simple, lineal múltiple, polinómica, un árbol de decisión y Random Forest. Lo importante es cómo los evaluamos: con validación temporal. Es decir, entrenamos con las ediciones viejas de la encuesta y probamos con la última, que el modelo nunca vio. Eso simula el uso real: predecir el presente con datos del pasado. Los dos mejores prácticamente empatan: la polinómica con 0,28 y Random Forest con 0,27 de R² en test. Elegimos Random Forest, y en la próxima slide les cuento por qué ese empate se define a su favor.</w:t>
      </w:r>
    </w:p>
    <w:p>
      <w:pPr>
        <w:spacing w:after="60"/>
      </w:pPr>
      <w:r>
        <w:rPr>
          <w:b/>
          <w:i w:val="0"/>
          <w:color w:val="B88600"/>
          <w:sz w:val="22"/>
        </w:rPr>
        <w:t>SLIDE 19 — POR QUÉ ELEGIMOS RANDOM FOREST</w:t>
      </w:r>
    </w:p>
    <w:p>
      <w:pPr>
        <w:spacing w:after="140"/>
      </w:pPr>
      <w:r>
        <w:rPr>
          <w:b w:val="0"/>
          <w:i w:val="0"/>
          <w:sz w:val="22"/>
        </w:rPr>
        <w:t>Random Forest es un «bosque» de muchos árboles de decisión: cada árbol se entrena con una muestra distinta de los datos y al final se promedian sus predicciones. Los errores de un árbol se compensan con los aciertos de otros. Lo elegimos por cinco razones: rinde a la par del mejor modelo; captura relaciones no lineales solas, como que la experiencia deja de sumar después de cierto punto; es robusto a outliers y no necesita estandarizar variables; lo regularizamos limitando la profundidad, así que train y test dan parecido —no hay overfitting—; y nos da la importancia de cada variable, que es oro para la lectura de negocio: la experiencia resultó ser lejos la más importante.</w:t>
      </w:r>
    </w:p>
    <w:p>
      <w:pPr>
        <w:spacing w:after="60"/>
      </w:pPr>
      <w:r>
        <w:rPr>
          <w:b/>
          <w:i w:val="0"/>
          <w:color w:val="B88600"/>
          <w:sz w:val="22"/>
        </w:rPr>
        <w:t>SLIDE 20 — SEGMENTACIÓN NO SUPERVISADA</w:t>
      </w:r>
    </w:p>
    <w:p>
      <w:pPr>
        <w:spacing w:after="140"/>
      </w:pPr>
      <w:r>
        <w:rPr>
          <w:b w:val="0"/>
          <w:i w:val="0"/>
          <w:sz w:val="22"/>
        </w:rPr>
        <w:t>Además de predecir, quisimos descubrir grupos naturales en el mercado. Para eso usamos K-Means, que es aprendizaje no supervisado: agrupa perfiles parecidos sin mirar el salario, y recién después vemos cuánto gana cada grupo. Elegimos 4 grupos con el método del codo y la silueta. Aparecieron 4 arquetipos muy reconocibles: el junior remoto, que es la mitad del mercado; el semi-senior dolarizado; el senior remoto, que es el mejor pago con 4,4 millones; y el senior corporativo de larga trayectoria. En el gráfico se ven algo solapados, pero es porque es una proyección en 2D que muestra solo el 62% de la información —no es error del modelo.</w:t>
      </w:r>
    </w:p>
    <w:p>
      <w:pPr>
        <w:spacing w:after="60"/>
      </w:pPr>
      <w:r>
        <w:rPr>
          <w:b/>
          <w:i w:val="0"/>
          <w:color w:val="B88600"/>
          <w:sz w:val="22"/>
        </w:rPr>
        <w:t>SLIDE 21 — PROBLEMAS Y CÓMO SE RESOLVIERON</w:t>
      </w:r>
    </w:p>
    <w:p>
      <w:pPr>
        <w:spacing w:after="240"/>
      </w:pPr>
      <w:r>
        <w:rPr>
          <w:b w:val="0"/>
          <w:i w:val="0"/>
          <w:sz w:val="22"/>
        </w:rPr>
        <w:t>Para cerrar la sección, los problemas que tuvimos que resolver. El mayor: comparar sueldos a través de una inflación de 10 veces —lo resolvimos deflactando por IPC, y los sueldos en dólares por la inflación de Estados Unidos, porque un sueldo dolarizado no pierde valor con la inflación argentina. Además: sacamos el seniority porque estaba duplicado con la experiencia y generaba ruido; usamos split temporal y no aleatorio para una validación honesta; agrupamos los 698 roles en las categorías frecuentes; y las tecnologías, como ya contaron, directamente las sacamos del modelo: su premium era un reflejo del contexto y como entrada solo metían ruido.</w:t>
      </w:r>
    </w:p>
    <w:p>
      <w:pPr>
        <w:spacing w:after="60"/>
      </w:pPr>
      <w:r>
        <w:rPr>
          <w:b/>
          <w:i w:val="0"/>
          <w:color w:val="0A0A0A"/>
          <w:sz w:val="25"/>
        </w:rPr>
        <w:t>BAUTISTA OLIVETO — RESULTADOS Y CIERRE (SLIDES 22–24)</w:t>
      </w:r>
    </w:p>
    <w:p>
      <w:pPr>
        <w:spacing w:after="160"/>
      </w:pPr>
      <w:r>
        <w:rPr>
          <w:b w:val="0"/>
          <w:i/>
          <w:color w:val="B03020"/>
          <w:sz w:val="19"/>
        </w:rPr>
        <w:t>[CAMBIO] Ahora son 3 slides, no 4: la de «evolución del poder de compra» SE ELIMINÓ del deck (ese párrafo no va más). La slide de brechas cambió: ya no muestra nominal vs real (−62%) sino el salario real por provincia. Y en conclusiones el perfil explica ~27% (no 30%) y ya no se habla de poder de compra estancado.</w:t>
      </w:r>
    </w:p>
    <w:p>
      <w:pPr>
        <w:spacing w:after="60"/>
      </w:pPr>
      <w:r>
        <w:rPr>
          <w:b/>
          <w:i w:val="0"/>
          <w:color w:val="B88600"/>
          <w:sz w:val="22"/>
        </w:rPr>
        <w:t>SLIDE 22 — BRECHAS SALARIALES Y REGIÓN</w:t>
      </w:r>
    </w:p>
    <w:p>
      <w:pPr>
        <w:spacing w:after="140"/>
      </w:pPr>
      <w:r>
        <w:rPr>
          <w:b w:val="0"/>
          <w:i w:val="0"/>
          <w:sz w:val="22"/>
        </w:rPr>
        <w:t>En este gráfico vemos las brechas salariales dentro del sector IT, ya en términos reales y mirando el mapa del país. La brecha más grande es la de la experiencia: entre un junior y un senior hay casi tres veces de diferencia, y el salto a un rol de liderazgo es el mayor premium entre roles. En lo regional, CABA paga un 24% más que el interior, y la Patagonia aparece destacada por sectores como energía. El trabajo remoto, además, paga un 43% más en dólares. Y un hallazgo contra la intuición: cobrar en dólares no dio un poder de compra más estable —los dolarizados mostraron más volatilidad real que los pesificados—.</w:t>
      </w:r>
    </w:p>
    <w:p>
      <w:pPr>
        <w:spacing w:after="60"/>
      </w:pPr>
      <w:r>
        <w:rPr>
          <w:b/>
          <w:i w:val="0"/>
          <w:color w:val="B88600"/>
          <w:sz w:val="22"/>
        </w:rPr>
        <w:t>SLIDE 23 — ARGENTINA VS EL MUNDO</w:t>
      </w:r>
    </w:p>
    <w:p>
      <w:pPr>
        <w:spacing w:after="140"/>
      </w:pPr>
      <w:r>
        <w:rPr>
          <w:b w:val="0"/>
          <w:i w:val="0"/>
          <w:sz w:val="22"/>
        </w:rPr>
        <w:t>Este gráfico compara a Argentina con otros países usando datos de Stack Overflow y Sysarmy. Argentina aparece con un salario mediano de USD 2.264 según Sysarmy, y USD 3.333 según Stack Overflow. Visualmente, vemos que estamos por encima de países como Brasil, Ucrania o India, pero muy por debajo de Europa y Estados Unidos, donde los salarios superan los USD 12.000 mensuales. El gráfico deja claro que Argentina ocupa una posición intermedia: competitiva en la región, pero lejos de los mercados más desarrollados.</w:t>
      </w:r>
    </w:p>
    <w:p>
      <w:pPr>
        <w:spacing w:after="60"/>
      </w:pPr>
      <w:r>
        <w:rPr>
          <w:b/>
          <w:i w:val="0"/>
          <w:color w:val="B88600"/>
          <w:sz w:val="22"/>
        </w:rPr>
        <w:t>SLIDE 24 — HALLAZGOS Y VALOR ESTRATÉGICO</w:t>
      </w:r>
    </w:p>
    <w:p>
      <w:pPr>
        <w:spacing w:after="140"/>
      </w:pPr>
      <w:r>
        <w:rPr>
          <w:b w:val="0"/>
          <w:i w:val="0"/>
          <w:sz w:val="22"/>
        </w:rPr>
        <w:t>En esta última diapositiva se resumen los hallazgos principales. La experiencia y el liderazgo explican cerca del 27% del salario: es lo que más pesa del perfil. La dolarización, que parecía una solución, no dio la estabilidad esperada. Los mejores salarios se concentran en CABA, las grandes empresas y los stacks backend como Go o Rust. Y todo el trabajo es 100% reproducible: las fuentes están versionadas en el repositorio y el pipeline se corre de punta a punta con un comando.</w:t>
      </w:r>
    </w:p>
    <w:p>
      <w:pPr>
        <w:spacing w:after="0"/>
      </w:pPr>
      <w:r>
        <w:rPr>
          <w:b w:val="0"/>
          <w:i w:val="0"/>
          <w:sz w:val="22"/>
        </w:rPr>
        <w:t>El valor estratégico es que ahora la gerencia tiene un benchmarking objetivo, puede detectar brechas y tomar decisiones de contratación y retención basadas en datos. Además, la herramienta se puede reentrenar con cada nueva edición de la encuesta.</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