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2A4A"/>
          <w:sz w:val="56"/>
        </w:rPr>
        <w:t>Mercado Laboral Tech Argentino</w:t>
      </w:r>
    </w:p>
    <w:p>
      <w:pPr>
        <w:jc w:val="center"/>
      </w:pPr>
      <w:r>
        <w:rPr>
          <w:color w:val="028090"/>
          <w:sz w:val="32"/>
        </w:rPr>
        <w:t>Análisis y predicción de salarios del sector IT</w:t>
      </w:r>
    </w:p>
    <w:p/>
    <w:p>
      <w:pPr>
        <w:jc w:val="center"/>
      </w:pPr>
      <w:r>
        <w:rPr>
          <w:b/>
          <w:i w:val="0"/>
          <w:sz w:val="24"/>
        </w:rPr>
        <w:t>Trabajo Práctico Obligatorio — Minería de Datos</w:t>
      </w:r>
    </w:p>
    <w:p>
      <w:pPr>
        <w:jc w:val="center"/>
      </w:pPr>
      <w:r>
        <w:rPr>
          <w:b w:val="0"/>
          <w:i/>
          <w:sz w:val="24"/>
        </w:rPr>
        <w:t>Documento de defensa oral</w:t>
      </w:r>
    </w:p>
    <w:p>
      <w:pPr>
        <w:jc w:val="center"/>
      </w:pPr>
      <w:r>
        <w:rPr>
          <w:b w:val="0"/>
          <w:i w:val="0"/>
          <w:sz w:val="22"/>
        </w:rPr>
        <w:t>Base de datos: encuestas de Sysarmy 2022–2025 + contexto macroeconómico</w:t>
      </w:r>
    </w:p>
    <w:p>
      <w:pPr>
        <w:jc w:val="center"/>
      </w:pPr>
      <w:r>
        <w:rPr>
          <w:b w:val="0"/>
          <w:i w:val="0"/>
          <w:sz w:val="22"/>
        </w:rPr>
        <w:t>Integrantes: ____________________     |     Fecha: ____________</w:t>
      </w:r>
    </w:p>
    <w:p>
      <w:r>
        <w:br w:type="page"/>
      </w:r>
    </w:p>
    <w:p>
      <w:pPr>
        <w:pStyle w:val="Heading1"/>
      </w:pPr>
      <w:r>
        <w:rPr>
          <w:color w:val="162A4A"/>
        </w:rPr>
        <w:t>Resumen ejecutivo</w:t>
      </w:r>
    </w:p>
    <w:p>
      <w:r>
        <w:rPr>
          <w:b w:val="0"/>
          <w:i w:val="0"/>
          <w:sz w:val="22"/>
        </w:rPr>
        <w:t>Este trabajo integra seis ediciones de la encuesta salarial de Sysarmy (2022–2025) con ocho series macroeconómicas para construir un dataset único, limpio y comparable en el tiempo de 31.088 profesionales del sector tecnológico argentino. Todos los salarios se expresan en términos reales (pesos y dólares constantes de mayo 2026), neutralizando una inflación acumulada superior al 900% y la fuerte variación del tipo de cambio del período.</w:t>
      </w:r>
    </w:p>
    <w:p>
      <w:r>
        <w:rPr>
          <w:b w:val="0"/>
          <w:i w:val="0"/>
          <w:sz w:val="22"/>
        </w:rPr>
        <w:t>Sobre esa base se desarrollaron dos modelos de minería de datos: un Random Forest (aprendizaje supervisado) que estima el salario a partir del perfil profesional, y una segmentación con K-Means (no supervisado) que descubre los arquetipos del mercado. Los resultados se exponen además en una aplicación web interactiva (Streamlit), en versiones español/pesos e inglés/dólares.</w:t>
      </w:r>
    </w:p>
    <w:p>
      <w:r>
        <w:rPr>
          <w:b w:val="0"/>
          <w:i/>
          <w:sz w:val="22"/>
        </w:rPr>
        <w:t>Hallazgo central: el perfil explica alrededor del 30% de la variación salarial — la experiencia y el rol de liderazgo son los factores dominantes —, el poder adquisitivo real quedó estancado pese a sueldos nominales diez veces mayores, y, contra la intuición, cobrar en dólares no aportó mayor estabilidad en el período analizado.</w:t>
      </w:r>
    </w:p>
    <w:p>
      <w:pPr>
        <w:pStyle w:val="Heading1"/>
      </w:pPr>
      <w:r>
        <w:rPr>
          <w:color w:val="162A4A"/>
        </w:rPr>
        <w:t>1. Dominio y problemática</w:t>
      </w:r>
    </w:p>
    <w:p>
      <w:r>
        <w:rPr>
          <w:b w:val="0"/>
          <w:i w:val="0"/>
          <w:sz w:val="22"/>
        </w:rPr>
        <w:t>El sector tecnológico argentino es dinámico, con alta rotación y exposición al mercado internacional. Sus salarios están atados a una macroeconomía muy volátil, lo que genera un problema concreto: no existe información integrada y comparable en el tiempo. Cada edición de la encuesta está expresada en pesos de su momento, con un nivel de precios y un tipo de cambio radicalmente distintos, por lo que comparar el sueldo de 2022 con el de 2025 «a valor nominal» carece de sentido.</w:t>
      </w:r>
    </w:p>
    <w:p>
      <w:r>
        <w:rPr>
          <w:b/>
          <w:i w:val="0"/>
          <w:sz w:val="22"/>
        </w:rPr>
        <w:t>Problemas que aborda el trabajo:</w:t>
      </w:r>
    </w:p>
    <w:p>
      <w:pPr>
        <w:pStyle w:val="ListBullet"/>
      </w:pPr>
      <w:r>
        <w:t>la fragmentación de las fuentes (encuesta + macro dispersa);</w:t>
      </w:r>
    </w:p>
    <w:p>
      <w:pPr>
        <w:pStyle w:val="ListBullet"/>
      </w:pPr>
      <w:r>
        <w:t>la falta de una medida de salario real y comparable entre períodos;</w:t>
      </w:r>
    </w:p>
    <w:p>
      <w:pPr>
        <w:pStyle w:val="ListBullet"/>
      </w:pPr>
      <w:r>
        <w:t>la ausencia de una herramienta que traduzca el perfil de un profesional en una estimación de mercado.</w:t>
      </w:r>
    </w:p>
    <w:p>
      <w:pPr>
        <w:pStyle w:val="Heading1"/>
      </w:pPr>
      <w:r>
        <w:rPr>
          <w:color w:val="162A4A"/>
        </w:rPr>
        <w:t>2. Hipótesis</w:t>
      </w:r>
    </w:p>
    <w:p>
      <w:r>
        <w:rPr>
          <w:b/>
          <w:i w:val="0"/>
          <w:color w:val="028090"/>
          <w:sz w:val="22"/>
        </w:rPr>
        <w:t>Hipótesis central</w:t>
      </w:r>
    </w:p>
    <w:p>
      <w:r>
        <w:rPr>
          <w:b w:val="0"/>
          <w:i/>
          <w:sz w:val="22"/>
        </w:rPr>
        <w:t>El sueldo real de un profesional tech en Argentina está determinado por su perfil laboral (rol, seniority, experiencia, tecnologías) y su contexto geográfico (provincia, modalidad), una vez ajustado por el contexto macroeconómico (inflación, tipo de cambio real, competitividad internacional).</w:t>
      </w:r>
    </w:p>
    <w:p>
      <w:r>
        <w:rPr>
          <w:b/>
          <w:i w:val="0"/>
          <w:color w:val="028090"/>
          <w:sz w:val="22"/>
        </w:rPr>
        <w:t>Hipótesis desagregadas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Hipótesis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El seniority/experiencia es la variable más predictiva del sueldo.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H2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Cada año de experiencia suma, pero con rendimientos decrecientes.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H3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Ciertas tecnologías tienen premium salarial.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H4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Buenos Aires paga más que el interior, pero menos de lo que se cree.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Un sueldo nominal más alto no implica mejor poder adquisitivo real.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H6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Quienes cobran en dólares tienen poder adquisitivo más estable.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H7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Cuando el ITCRM sube (peso depreciado), suben los sueldos en USD.</w:t>
            </w:r>
          </w:p>
        </w:tc>
      </w:tr>
    </w:tbl>
    <w:p>
      <w:pPr>
        <w:pStyle w:val="Heading1"/>
      </w:pPr>
      <w:r>
        <w:rPr>
          <w:color w:val="162A4A"/>
        </w:rPr>
        <w:t>3. Propuesta y valor para el negocio</w:t>
      </w:r>
    </w:p>
    <w:p>
      <w:r>
        <w:rPr>
          <w:b w:val="0"/>
          <w:i w:val="0"/>
          <w:sz w:val="22"/>
        </w:rPr>
        <w:t>Se construyó un pipeline de datos reproducible que unifica las seis ediciones de Sysarmy con ocho series macro, produce un dataset analítico único y alimenta modelos predictivos, de segmentación y una app interactiva.</w:t>
      </w:r>
    </w:p>
    <w:p>
      <w:r>
        <w:rPr>
          <w:b/>
          <w:i w:val="0"/>
          <w:sz w:val="22"/>
        </w:rPr>
        <w:t>Valor para la gerencia:</w:t>
      </w:r>
    </w:p>
    <w:p>
      <w:pPr>
        <w:pStyle w:val="ListBullet"/>
      </w:pPr>
      <w:r>
        <w:t>Benchmarking salarial objetivo para definir ofertas y políticas de retención.</w:t>
      </w:r>
    </w:p>
    <w:p>
      <w:pPr>
        <w:pStyle w:val="ListBullet"/>
      </w:pPr>
      <w:r>
        <w:t>Identificación de las brechas y de los factores que efectivamente mueven el sueldo.</w:t>
      </w:r>
    </w:p>
    <w:p>
      <w:pPr>
        <w:pStyle w:val="ListBullet"/>
      </w:pPr>
      <w:r>
        <w:t>Lectura del impacto de la macro (inflación y dólar) sobre el costo del talento.</w:t>
      </w:r>
    </w:p>
    <w:p>
      <w:pPr>
        <w:pStyle w:val="ListBullet"/>
      </w:pPr>
      <w:r>
        <w:t>Una herramienta viva que se reentrena con cada nueva edición de la encuesta.</w:t>
      </w:r>
    </w:p>
    <w:p>
      <w:pPr>
        <w:pStyle w:val="Heading1"/>
      </w:pPr>
      <w:r>
        <w:rPr>
          <w:color w:val="162A4A"/>
        </w:rPr>
        <w:t>4. Arquitectura del pipeline y fuentes</w:t>
      </w:r>
    </w:p>
    <w:p>
      <w:r>
        <w:rPr>
          <w:b w:val="0"/>
          <w:i w:val="0"/>
          <w:sz w:val="22"/>
        </w:rPr>
        <w:t>El flujo es: (1) descarga de fuentes, (2) limpieza y unificación de las ediciones, (3) ajuste a valores reales con base común (mayo 2026) y (4) dataset final más una tabla de contexto macroeconómico vinculada por la fecha de edición.</w:t>
      </w:r>
    </w:p>
    <w:p>
      <w:r>
        <w:rPr>
          <w:b/>
          <w:i w:val="0"/>
          <w:sz w:val="22"/>
        </w:rPr>
        <w:t>Fuentes integradas (9):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Fuente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Aporte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Sysarmy (6 ediciones)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Salarios y perfiles — 31.088 respuestas (2022–2025)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IPC INDEC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Inflación argentina (deflactor de pesos)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Dólar MEP (Blue, bluelytics)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Tipo de cambio histórico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US CPI (FRED)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Inflación de EE.UU. (deflactor de dólares)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CBT INDEC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Canasta básica total (poder adquisitivo)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RIPTE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Salario formal promedio (benchmark)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Big Mac Index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Paridad de poder adquisitivo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ITCRM (BCRA)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Tipo de cambio real multilateral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Stack Overflow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Benchmark internacional (separado)</w:t>
            </w:r>
          </w:p>
        </w:tc>
      </w:tr>
    </w:tbl>
    <w:p>
      <w:pPr>
        <w:pStyle w:val="Heading1"/>
      </w:pPr>
      <w:r>
        <w:rPr>
          <w:color w:val="162A4A"/>
        </w:rPr>
        <w:t>5. Limpieza, transformación y dificultades resueltas</w:t>
      </w:r>
    </w:p>
    <w:p>
      <w:r>
        <w:rPr>
          <w:b w:val="0"/>
          <w:i w:val="0"/>
          <w:sz w:val="22"/>
        </w:rPr>
        <w:t>La principal complejidad no fue «limpiar datos sucios» —los campos de la encuesta son en su mayoría desplegables controlados— sino integrar y hacer comparables fuentes heterogéneas. Las decisiones metodológicas más relevantes:</w:t>
      </w:r>
    </w:p>
    <w:p>
      <w:pPr>
        <w:pStyle w:val="ListBullet"/>
      </w:pPr>
      <w:r>
        <w:rPr>
          <w:b/>
        </w:rPr>
        <w:t xml:space="preserve">Armonización de esquemas: </w:t>
      </w:r>
      <w:r/>
      <w:r>
        <w:t>cada edición tenía entre 43 y 56 columnas con nombres distintos; se mapearon al mismo esquema mediante coincidencia por tokens.</w:t>
      </w:r>
    </w:p>
    <w:p>
      <w:pPr>
        <w:pStyle w:val="ListBullet"/>
      </w:pPr>
      <w:r>
        <w:rPr>
          <w:b/>
        </w:rPr>
        <w:t xml:space="preserve">Ajuste a valores reales: </w:t>
      </w:r>
      <w:r/>
      <w:r>
        <w:t>los pesos se deflactaron por IPC y los dólares por la inflación de EE.UU. (US CPI), llevando todo a una base común (mayo 2026).</w:t>
      </w:r>
    </w:p>
    <w:p>
      <w:pPr>
        <w:pStyle w:val="ListBullet"/>
      </w:pPr>
      <w:r>
        <w:rPr>
          <w:b/>
        </w:rPr>
        <w:t xml:space="preserve">Ajuste según la moneda nativa: </w:t>
      </w:r>
      <w:r/>
      <w:r>
        <w:t>un sueldo dolarizado no pierde valor con la inflación local; se ajusta por la inflación del país de su moneda. Así el cociente pesos/dólares es un tipo de cambio coherente.</w:t>
      </w:r>
    </w:p>
    <w:p>
      <w:pPr>
        <w:pStyle w:val="ListBullet"/>
      </w:pPr>
      <w:r>
        <w:rPr>
          <w:b/>
        </w:rPr>
        <w:t xml:space="preserve">Seniority redundante: </w:t>
      </w:r>
      <w:r/>
      <w:r>
        <w:t>en 2022–2023 se infirió de los años de experiencia; como genera multicolinealidad y no aporta información independiente, se excluyó del modelo sin pérdida de R².</w:t>
      </w:r>
    </w:p>
    <w:p>
      <w:pPr>
        <w:pStyle w:val="ListBullet"/>
      </w:pPr>
      <w:r>
        <w:rPr>
          <w:b/>
        </w:rPr>
        <w:t xml:space="preserve">Outliers: </w:t>
      </w:r>
      <w:r/>
      <w:r>
        <w:t>se conservan marcados (sólo se descartan errores de carga evidentes, fuera de 50× la mediana).</w:t>
      </w:r>
    </w:p>
    <w:p>
      <w:pPr>
        <w:pStyle w:val="Heading1"/>
      </w:pPr>
      <w:r>
        <w:rPr>
          <w:color w:val="162A4A"/>
        </w:rPr>
        <w:t>6. Análisis exploratorio (EDA)</w:t>
      </w:r>
    </w:p>
    <w:p>
      <w:r>
        <w:rPr>
          <w:b w:val="0"/>
          <w:i w:val="0"/>
          <w:sz w:val="22"/>
        </w:rPr>
        <w:t>Todos los salarios se analizan en moneda real de mayo 2026. La mediana del mercado es de $3,19 M (USD 2.264) mensuales brutos.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26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cion_salari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6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1. Distribución de salarios reales (pesos y dólares).</w:t>
      </w:r>
    </w:p>
    <w:p>
      <w:pPr>
        <w:pStyle w:val="Heading2"/>
      </w:pPr>
      <w:r>
        <w:rPr>
          <w:color w:val="028090"/>
        </w:rPr>
        <w:t>6.1 Seniority, geografía y modalidad (H1, 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8289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02_senior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28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2. Salario por seniority.</w:t>
      </w:r>
    </w:p>
    <w:p>
      <w:r>
        <w:rPr>
          <w:b w:val="0"/>
          <w:i w:val="0"/>
          <w:sz w:val="22"/>
        </w:rPr>
        <w:t>El seniority ordena el salario casi sin solapamiento (mediana junior $1,8 M; senior $4,3 M). Geográficamente, CABA paga un 24% más que el interior —menos de lo que suele creerse— y el trabajo remoto paga un 43% más en dólares que el presencial.</w:t>
      </w:r>
    </w:p>
    <w:p>
      <w:pPr>
        <w:pStyle w:val="Heading2"/>
      </w:pPr>
      <w:r>
        <w:rPr>
          <w:color w:val="028090"/>
        </w:rPr>
        <w:t>6.2 Tecnologías (H3)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581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04_tecnolog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8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3. Frecuencia y premium salarial por tecnología.</w:t>
      </w:r>
    </w:p>
    <w:p>
      <w:r>
        <w:rPr>
          <w:b w:val="0"/>
          <w:i w:val="0"/>
          <w:sz w:val="22"/>
        </w:rPr>
        <w:t>El premium no depende de la cantidad de tecnologías sino de cuáles: Go (+45%), Rust (+48%) y Scala (+42%) lideran; Python aporta +13%; el stack web básico (CSS, HTML) queda por debajo de la mediana.</w:t>
      </w:r>
    </w:p>
    <w:p>
      <w:pPr>
        <w:pStyle w:val="Heading1"/>
      </w:pPr>
      <w:r>
        <w:rPr>
          <w:color w:val="162A4A"/>
        </w:rPr>
        <w:t>7. Modelado supervisado — Random Forest</w:t>
      </w:r>
    </w:p>
    <w:p>
      <w:r>
        <w:rPr>
          <w:b w:val="0"/>
          <w:i w:val="0"/>
          <w:sz w:val="22"/>
        </w:rPr>
        <w:t>Variable objetivo: el salario real (se entrenó en pesos y, en paralelo, en dólares; como difieren sólo en una constante, el R² es idéntico). Se compararon cinco técnicas vistas en la materia, con validación temporal: se entrena con las ediciones previas y se evalúa sobre la última encuesta (2025.2), que el modelo nunca vio.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Modelo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R² (test)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RMSE (test)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Overfitting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Regresión lineal simple (sólo experiencia)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0.13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$2,18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Regresión lineal múltiple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$2,05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Regresión polinómica (grado 2)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$1,98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Árbol de decisión (prof. 5)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$2,08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Random Forest (regularizado)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0.30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$1,97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0768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importancia_fea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076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4. Importancia de variables (Random Forest).</w:t>
      </w:r>
    </w:p>
    <w:p>
      <w:r>
        <w:rPr>
          <w:b w:val="0"/>
          <w:i w:val="0"/>
          <w:sz w:val="22"/>
        </w:rPr>
        <w:t>El mejor modelo es el Random Forest (R²≈0,30). Las variables más predictivas son la experiencia, la edad, el uso de Go, el rol de liderazgo y trabajar en CABA. El techo de ~0,30 es esperable y honesto: cerca de dos tercios de la variación salarial dependen de factores no capturados por la encuesta (empresa puntual, negociación). La validación temporal (R²=0,30) es muy cercana a la aleatoria (R²=0,33), lo que indica que el modelo generaliza bien al presente.</w:t>
      </w:r>
    </w:p>
    <w:p>
      <w:pPr>
        <w:pStyle w:val="Heading1"/>
      </w:pPr>
      <w:r>
        <w:rPr>
          <w:color w:val="162A4A"/>
        </w:rPr>
        <w:t>8. Segmentación — K-Means</w:t>
      </w:r>
    </w:p>
    <w:p>
      <w:r>
        <w:rPr>
          <w:b w:val="0"/>
          <w:i w:val="0"/>
          <w:sz w:val="22"/>
        </w:rPr>
        <w:t>Con aprendizaje no supervisado (K-Means) se agruparon los perfiles sin usar el salario, y recién después se observó cuánto gana cada grupo. El número de segmentos (k=4) se eligió con el método del codo y la silueta. Para visualizarlos se aplicó PCA: el Componente 1 (48% de la variación) representa los años de carrera (junior→senior) y el Componente 2 (15%), la antigüedad/rotación en la empresa.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723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s_segment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2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5. Mapa de segmentos (PCA) y salario por arquetipo.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Segmento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%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Perfil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Salario mediano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Exportador joven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21%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31 años, 5 exp, 100% USD, remoto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$2,81 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Senior / Líder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21%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42 años, 15 exp, managers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$4,43 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Dev local junior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49%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30 años, 3 exp, cobra en pesos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$2,76 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Corporativo senior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9%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44 años, 18 exp, empresas grandes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$3,98 M</w:t>
            </w:r>
          </w:p>
        </w:tc>
      </w:tr>
    </w:tbl>
    <w:p>
      <w:pPr>
        <w:pStyle w:val="Heading1"/>
      </w:pPr>
      <w:r>
        <w:rPr>
          <w:color w:val="162A4A"/>
        </w:rPr>
        <w:t>9. Resultados y storytelling</w:t>
      </w:r>
    </w:p>
    <w:p>
      <w:r>
        <w:rPr>
          <w:b/>
          <w:i w:val="0"/>
          <w:sz w:val="22"/>
        </w:rPr>
        <w:t>Validación de las hipótesis: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Evidencia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Distribuciones casi sin solape; es el predictor más fuerte.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0→3 años: +85%; 10→13 años: +3% (plateau).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Parcial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Premium real pero liderado por Go/Rust, no sólo Python.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CABA +24% vs interior; remoto +43% en USD.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Brecha nominal–real promedio de −62%.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Refutada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Los dolarizados tuvieron MÁS volatilidad real (CV 0,23 vs 0,14).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Indicio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Correlación 0,70 pero no significativa (n=6 ediciones).</w:t>
            </w:r>
          </w:p>
        </w:tc>
      </w:tr>
    </w:tbl>
    <w:p>
      <w:pPr>
        <w:pStyle w:val="Heading2"/>
      </w:pPr>
      <w:r>
        <w:rPr>
          <w:color w:val="028090"/>
        </w:rPr>
        <w:t>9.1 Impacto de la inflación (H5)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503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06_poder_adquisitiv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5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6. Salario nominal vs real y brecha por registro.</w:t>
      </w:r>
    </w:p>
    <w:p>
      <w:r>
        <w:rPr>
          <w:b w:val="0"/>
          <w:i w:val="0"/>
          <w:sz w:val="22"/>
        </w:rPr>
        <w:t>El número nominal creció diez veces, pero casi todo fue inflación: en pesos reales el poder de compra se mantuvo estancado. La brecha promedio entre lo nominal y lo real es del −62%.</w:t>
      </w:r>
    </w:p>
    <w:p>
      <w:pPr>
        <w:pStyle w:val="Heading2"/>
      </w:pPr>
      <w:r>
        <w:rPr>
          <w:color w:val="028090"/>
        </w:rPr>
        <w:t>9.2 Dolarización: el hallazgo contraintuitivo (H6)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6101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07_dolarizac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7. Dolarización del sector.</w:t>
      </w:r>
    </w:p>
    <w:p>
      <w:r>
        <w:rPr>
          <w:b w:val="0"/>
          <w:i w:val="0"/>
          <w:sz w:val="22"/>
        </w:rPr>
        <w:t>Contra la creencia general, cobrar en dólares no dio más estabilidad en el período: la volatilidad real de esos salarios fue mayor (coeficiente de variación 0,23 vs 0,14) y el premium real fue prácticamente nulo. El dólar protege de la inflación, pero expone a la apreciación real del peso: fue un escudo en 2022–2023 y un lastre en 2024–2026.</w:t>
      </w:r>
    </w:p>
    <w:p>
      <w:pPr>
        <w:pStyle w:val="Heading1"/>
      </w:pPr>
      <w:r>
        <w:rPr>
          <w:color w:val="162A4A"/>
        </w:rPr>
        <w:t>10. La herramienta (aplicación web)</w:t>
      </w:r>
    </w:p>
    <w:p>
      <w:r>
        <w:rPr>
          <w:b w:val="0"/>
          <w:i w:val="0"/>
          <w:sz w:val="22"/>
        </w:rPr>
        <w:t>Los resultados se entregan en una app interactiva (Streamlit) con tres secciones: un estimador de salario (Random Forest), un EDA navegable y la segmentación de mercado. Se publican dos versiones:</w:t>
      </w:r>
    </w:p>
    <w:p>
      <w:pPr>
        <w:pStyle w:val="ListBullet"/>
      </w:pPr>
      <w:r>
        <w:t>Español / pesos reales — se ejecuta con: streamlit run app/main.py</w:t>
      </w:r>
    </w:p>
    <w:p>
      <w:pPr>
        <w:pStyle w:val="ListBullet"/>
      </w:pPr>
      <w:r>
        <w:t>Inglés / dólares reales — se ejecuta con: streamlit run app_en/main.py</w:t>
      </w:r>
    </w:p>
    <w:p>
      <w:r>
        <w:rPr>
          <w:b w:val="0"/>
          <w:i w:val="0"/>
          <w:sz w:val="22"/>
        </w:rPr>
        <w:t>El estimador devuelve, además del salario estimado, su posición frente al mercado (cuartiles) y la mediana de profesionales con el mismo rol y provincia.</w:t>
      </w:r>
    </w:p>
    <w:p>
      <w:pPr>
        <w:pStyle w:val="Heading1"/>
      </w:pPr>
      <w:r>
        <w:rPr>
          <w:color w:val="162A4A"/>
        </w:rPr>
        <w:t>11. Conclusiones</w:t>
      </w:r>
    </w:p>
    <w:p>
      <w:r>
        <w:rPr>
          <w:b/>
          <w:i w:val="0"/>
          <w:sz w:val="22"/>
        </w:rPr>
        <w:t>Principales hallazgos:</w:t>
      </w:r>
    </w:p>
    <w:p>
      <w:pPr>
        <w:pStyle w:val="ListBullet"/>
      </w:pPr>
      <w:r>
        <w:t>El perfil explica ~30% del sueldo; la experiencia y el rol de liderazgo son lo decisivo.</w:t>
      </w:r>
    </w:p>
    <w:p>
      <w:pPr>
        <w:pStyle w:val="ListBullet"/>
      </w:pPr>
      <w:r>
        <w:t>El poder adquisitivo real quedó estancado pese a sueldos nominales 10× mayores.</w:t>
      </w:r>
    </w:p>
    <w:p>
      <w:pPr>
        <w:pStyle w:val="ListBullet"/>
      </w:pPr>
      <w:r>
        <w:t>Dolarizarse no garantizó ni mayor premium ni mayor estabilidad.</w:t>
      </w:r>
    </w:p>
    <w:p>
      <w:pPr>
        <w:pStyle w:val="ListBullet"/>
      </w:pPr>
      <w:r>
        <w:t>CABA, las grandes empresas y el stack backend (Go/Rust) concentran los mejores sueldos.</w:t>
      </w:r>
    </w:p>
    <w:p>
      <w:r>
        <w:rPr>
          <w:b/>
          <w:i w:val="0"/>
          <w:sz w:val="22"/>
        </w:rPr>
        <w:t>Valor estratégico para la gerencia:</w:t>
      </w:r>
    </w:p>
    <w:p>
      <w:pPr>
        <w:pStyle w:val="ListBullet"/>
      </w:pPr>
      <w:r>
        <w:t>Benchmarking salarial objetivo y segmentado por arquetipo de profesional.</w:t>
      </w:r>
    </w:p>
    <w:p>
      <w:pPr>
        <w:pStyle w:val="ListBullet"/>
      </w:pPr>
      <w:r>
        <w:t>Lectura del costo del talento frente al contexto macroeconómico.</w:t>
      </w:r>
    </w:p>
    <w:p>
      <w:pPr>
        <w:pStyle w:val="ListBullet"/>
      </w:pPr>
      <w:r>
        <w:t>Decisiones de oferta y retención basadas en datos, con una herramienta reutilizable.</w:t>
      </w:r>
    </w:p>
    <w:p>
      <w:r>
        <w:br w:type="page"/>
      </w:r>
    </w:p>
    <w:p>
      <w:pPr>
        <w:pStyle w:val="Heading1"/>
      </w:pPr>
      <w:r>
        <w:rPr>
          <w:color w:val="162A4A"/>
        </w:rPr>
        <w:t>Anexo — Guion de defensa oral</w:t>
      </w:r>
    </w:p>
    <w:p>
      <w:pPr>
        <w:pStyle w:val="ListNumber"/>
      </w:pPr>
      <w:r>
        <w:rPr>
          <w:b/>
        </w:rPr>
        <w:t xml:space="preserve">Portada: </w:t>
      </w:r>
      <w:r>
        <w:t>Presentarse y enunciar el tema: predecir y explicar salarios tech reales.</w:t>
      </w:r>
    </w:p>
    <w:p>
      <w:pPr>
        <w:pStyle w:val="ListNumber"/>
      </w:pPr>
      <w:r>
        <w:rPr>
          <w:b/>
        </w:rPr>
        <w:t xml:space="preserve">Dominio: </w:t>
      </w:r>
      <w:r>
        <w:t>Plantear el problema: info fragmentada y no comparable por la inflación. Enunciar la hipótesis central.</w:t>
      </w:r>
    </w:p>
    <w:p>
      <w:pPr>
        <w:pStyle w:val="ListNumber"/>
      </w:pPr>
      <w:r>
        <w:rPr>
          <w:b/>
        </w:rPr>
        <w:t xml:space="preserve">Propuesta: </w:t>
      </w:r>
      <w:r>
        <w:t>Qué construimos (pipeline + modelos + app) y para qué le sirve a la gerencia.</w:t>
      </w:r>
    </w:p>
    <w:p>
      <w:pPr>
        <w:pStyle w:val="ListNumber"/>
      </w:pPr>
      <w:r>
        <w:rPr>
          <w:b/>
        </w:rPr>
        <w:t xml:space="preserve">Pipeline: </w:t>
      </w:r>
      <w:r>
        <w:t>Recorrer el flujo de 4 pasos y nombrar las 9 fuentes.</w:t>
      </w:r>
    </w:p>
    <w:p>
      <w:pPr>
        <w:pStyle w:val="ListNumber"/>
      </w:pPr>
      <w:r>
        <w:rPr>
          <w:b/>
        </w:rPr>
        <w:t xml:space="preserve">EDA distribución: </w:t>
      </w:r>
      <w:r>
        <w:t>Mostrar que trabajamos en moneda real; dar la mediana ($3,19 M / USD 2.264).</w:t>
      </w:r>
    </w:p>
    <w:p>
      <w:pPr>
        <w:pStyle w:val="ListNumber"/>
      </w:pPr>
      <w:r>
        <w:rPr>
          <w:b/>
        </w:rPr>
        <w:t xml:space="preserve">EDA seniority/geo: </w:t>
      </w:r>
      <w:r>
        <w:t>H1 y H4: seniority casi sin solape; CABA +24%, remoto +43% USD.</w:t>
      </w:r>
    </w:p>
    <w:p>
      <w:pPr>
        <w:pStyle w:val="ListNumber"/>
      </w:pPr>
      <w:r>
        <w:rPr>
          <w:b/>
        </w:rPr>
        <w:t xml:space="preserve">EDA tecnologías: </w:t>
      </w:r>
      <w:r>
        <w:t>H3: el premium lo da el stack (Go/Rust), no la cantidad.</w:t>
      </w:r>
    </w:p>
    <w:p>
      <w:pPr>
        <w:pStyle w:val="ListNumber"/>
      </w:pPr>
      <w:r>
        <w:rPr>
          <w:b/>
        </w:rPr>
        <w:t xml:space="preserve">Clustering: </w:t>
      </w:r>
      <w:r>
        <w:t>Explicar K-Means (no supervisado) y los ejes del PCA; presentar los 4 arquetipos.</w:t>
      </w:r>
    </w:p>
    <w:p>
      <w:pPr>
        <w:pStyle w:val="ListNumber"/>
      </w:pPr>
      <w:r>
        <w:rPr>
          <w:b/>
        </w:rPr>
        <w:t xml:space="preserve">Modelos RF: </w:t>
      </w:r>
      <w:r>
        <w:t>5 modelos comparados; gana Random Forest; variables top.</w:t>
      </w:r>
    </w:p>
    <w:p>
      <w:pPr>
        <w:pStyle w:val="ListNumber"/>
      </w:pPr>
      <w:r>
        <w:rPr>
          <w:b/>
        </w:rPr>
        <w:t xml:space="preserve">Desempeño: </w:t>
      </w:r>
      <w:r>
        <w:t>R²≈0,30 (honesto), validación temporal; por qué el techo es ~0,30.</w:t>
      </w:r>
    </w:p>
    <w:p>
      <w:pPr>
        <w:pStyle w:val="ListNumber"/>
      </w:pPr>
      <w:r>
        <w:rPr>
          <w:b/>
        </w:rPr>
        <w:t xml:space="preserve">Dificultades: </w:t>
      </w:r>
      <w:r>
        <w:t>Lucirse: armonización, ajuste por moneda nativa, split temporal, seniority.</w:t>
      </w:r>
    </w:p>
    <w:p>
      <w:pPr>
        <w:pStyle w:val="ListNumber"/>
      </w:pPr>
      <w:r>
        <w:rPr>
          <w:b/>
        </w:rPr>
        <w:t xml:space="preserve">Hipótesis: </w:t>
      </w:r>
      <w:r>
        <w:t>Repasar H1–H7 y destacar la H6 refutada.</w:t>
      </w:r>
    </w:p>
    <w:p>
      <w:pPr>
        <w:pStyle w:val="ListNumber"/>
      </w:pPr>
      <w:r>
        <w:rPr>
          <w:b/>
        </w:rPr>
        <w:t xml:space="preserve">Inflación: </w:t>
      </w:r>
      <w:r>
        <w:t>H5: el número nominal engaña (−62%).</w:t>
      </w:r>
    </w:p>
    <w:p>
      <w:pPr>
        <w:pStyle w:val="ListNumber"/>
      </w:pPr>
      <w:r>
        <w:rPr>
          <w:b/>
        </w:rPr>
        <w:t xml:space="preserve">Dolarización: </w:t>
      </w:r>
      <w:r>
        <w:t>El hallazgo contraintuitivo (H6): el dólar no dio estabilidad.</w:t>
      </w:r>
    </w:p>
    <w:p>
      <w:pPr>
        <w:pStyle w:val="ListNumber"/>
      </w:pPr>
      <w:r>
        <w:rPr>
          <w:b/>
        </w:rPr>
        <w:t xml:space="preserve">Demo: </w:t>
      </w:r>
      <w:r>
        <w:t>Mostrar la app en vivo (estimador + segmentos).</w:t>
      </w:r>
    </w:p>
    <w:p>
      <w:pPr>
        <w:pStyle w:val="ListNumber"/>
      </w:pPr>
      <w:r>
        <w:rPr>
          <w:b/>
        </w:rPr>
        <w:t xml:space="preserve">Conclusiones: </w:t>
      </w:r>
      <w:r>
        <w:t>Cerrar con hallazgos y valor estratégico.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