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0A0A"/>
          <w:sz w:val="56"/>
        </w:rPr>
        <w:t>Mercado Laboral Tech Argentino</w:t>
      </w:r>
    </w:p>
    <w:p>
      <w:pPr>
        <w:jc w:val="center"/>
      </w:pPr>
      <w:r>
        <w:rPr>
          <w:color w:val="333333"/>
          <w:sz w:val="32"/>
        </w:rPr>
        <w:t>Análisis y predicción de salarios del sector IT</w:t>
      </w:r>
    </w:p>
    <w:p/>
    <w:p>
      <w:pPr>
        <w:jc w:val="center"/>
      </w:pPr>
      <w:r>
        <w:rPr>
          <w:b/>
          <w:i w:val="0"/>
          <w:sz w:val="24"/>
        </w:rPr>
        <w:t>Trabajo Práctico Obligatorio — Minería de Datos</w:t>
      </w:r>
    </w:p>
    <w:p>
      <w:pPr>
        <w:jc w:val="center"/>
      </w:pPr>
      <w:r>
        <w:rPr>
          <w:b w:val="0"/>
          <w:i/>
          <w:sz w:val="24"/>
        </w:rPr>
        <w:t>Documento de defensa oral</w:t>
      </w:r>
    </w:p>
    <w:p>
      <w:pPr>
        <w:jc w:val="center"/>
      </w:pPr>
      <w:r>
        <w:rPr>
          <w:b w:val="0"/>
          <w:i w:val="0"/>
          <w:sz w:val="22"/>
        </w:rPr>
        <w:t>Base: encuestas de Sysarmy 2022–2025 + contexto macroeconómico</w:t>
      </w:r>
    </w:p>
    <w:p>
      <w:pPr>
        <w:jc w:val="center"/>
      </w:pPr>
      <w:r>
        <w:rPr>
          <w:b w:val="0"/>
          <w:i w:val="0"/>
          <w:sz w:val="22"/>
        </w:rPr>
        <w:t>Integrantes: ____________________     |     Fecha: ____________</w:t>
      </w:r>
    </w:p>
    <w:p>
      <w:r>
        <w:br w:type="page"/>
      </w:r>
    </w:p>
    <w:p>
      <w:pPr>
        <w:pStyle w:val="Heading1"/>
      </w:pPr>
      <w:r>
        <w:rPr>
          <w:color w:val="0A0A0A"/>
        </w:rPr>
        <w:t>Resumen ejecutivo</w:t>
      </w:r>
    </w:p>
    <w:p>
      <w:r>
        <w:rPr>
          <w:b w:val="0"/>
          <w:i w:val="0"/>
          <w:sz w:val="22"/>
        </w:rPr>
        <w:t>Este trabajo integra seis ediciones de la encuesta salarial de Sysarmy (2022–2025) con ocho series macroeconómicas para construir un dataset único, limpio y comparable en el tiempo de 31.088 profesionales del sector tecnológico argentino. Todos los salarios se expresan en términos reales (pesos y dólares constantes de mayo 2026), neutralizando una inflación acumulada superior al 900% y la fuerte variación del tipo de cambio del período.</w:t>
      </w:r>
    </w:p>
    <w:p>
      <w:r>
        <w:rPr>
          <w:b w:val="0"/>
          <w:i w:val="0"/>
          <w:sz w:val="22"/>
        </w:rPr>
        <w:t>Sobre esa base se desarrollaron dos modelos: un Random Forest (supervisado) que estima el salario a partir del perfil, y una segmentación con K-Means (no supervisado) que descubre los arquetipos del mercado. Los resultados se exponen en una app web (Streamlit), en versiones español/pesos e inglés/dólares.</w:t>
      </w:r>
    </w:p>
    <w:p>
      <w:r>
        <w:rPr>
          <w:b w:val="0"/>
          <w:i/>
          <w:sz w:val="22"/>
        </w:rPr>
        <w:t>Hallazgo central: el perfil explica alrededor del 27% de la variación salarial —la experiencia y el rol de liderazgo son dominantes— y, contra la intuición, cobrar en dólares no aportó mayor estabilidad en el período.</w:t>
      </w:r>
    </w:p>
    <w:p>
      <w:pPr>
        <w:pStyle w:val="Heading1"/>
      </w:pPr>
      <w:r>
        <w:rPr>
          <w:color w:val="0A0A0A"/>
        </w:rPr>
        <w:t>Equipo, roles y estrategia</w:t>
      </w:r>
    </w:p>
    <w:p>
      <w:r>
        <w:rPr>
          <w:b w:val="0"/>
          <w:i w:val="0"/>
          <w:sz w:val="22"/>
        </w:rPr>
        <w:t>El equipo se organizó por roles complementarios, bajo una metodología iterativa inspirada en CRISP-DM (comprensión del negocio → datos → preparación → modelado → evaluación → despliegue), con control de versiones en Git y ramas por funcionalidad.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Rol</w:t>
            </w:r>
          </w:p>
        </w:tc>
        <w:tc>
          <w:tcPr>
            <w:tcW w:type="dxa" w:w="2880"/>
          </w:tcPr>
          <w:p>
            <w:r/>
            <w:r>
              <w:rPr>
                <w:b/>
                <w:sz w:val="20"/>
              </w:rPr>
              <w:t>Responsabilidades</w:t>
            </w:r>
          </w:p>
        </w:tc>
        <w:tc>
          <w:tcPr>
            <w:tcW w:type="dxa" w:w="2880"/>
          </w:tcPr>
          <w:p>
            <w:r/>
            <w:r>
              <w:rPr>
                <w:b/>
                <w:sz w:val="20"/>
              </w:rPr>
              <w:t>Integrante</w:t>
            </w:r>
          </w:p>
        </w:tc>
      </w:tr>
      <w:tr>
        <w:tc>
          <w:tcPr>
            <w:tcW w:type="dxa" w:w="2880"/>
          </w:tcPr>
          <w:p>
            <w:r/>
            <w:r>
              <w:rPr>
                <w:sz w:val="20"/>
              </w:rPr>
              <w:t>Datos / ETL</w:t>
            </w:r>
          </w:p>
        </w:tc>
        <w:tc>
          <w:tcPr>
            <w:tcW w:type="dxa" w:w="2880"/>
          </w:tcPr>
          <w:p>
            <w:r/>
            <w:r>
              <w:rPr>
                <w:sz w:val="20"/>
              </w:rPr>
              <w:t>Descarga e integración de 9 fuentes, limpieza y unificación</w:t>
            </w:r>
          </w:p>
        </w:tc>
        <w:tc>
          <w:tcPr>
            <w:tcW w:type="dxa" w:w="2880"/>
          </w:tcPr>
          <w:p>
            <w:r/>
            <w:r>
              <w:rPr>
                <w:sz w:val="20"/>
              </w:rPr>
              <w:t>____________</w:t>
            </w:r>
          </w:p>
        </w:tc>
      </w:tr>
      <w:tr>
        <w:tc>
          <w:tcPr>
            <w:tcW w:type="dxa" w:w="2880"/>
          </w:tcPr>
          <w:p>
            <w:r/>
            <w:r>
              <w:rPr>
                <w:sz w:val="20"/>
              </w:rPr>
              <w:t>Feature engineering / Modelado</w:t>
            </w:r>
          </w:p>
        </w:tc>
        <w:tc>
          <w:tcPr>
            <w:tcW w:type="dxa" w:w="2880"/>
          </w:tcPr>
          <w:p>
            <w:r/>
            <w:r>
              <w:rPr>
                <w:sz w:val="20"/>
              </w:rPr>
              <w:t>Variables, Random Forest, K-Means y evaluación</w:t>
            </w:r>
          </w:p>
        </w:tc>
        <w:tc>
          <w:tcPr>
            <w:tcW w:type="dxa" w:w="2880"/>
          </w:tcPr>
          <w:p>
            <w:r/>
            <w:r>
              <w:rPr>
                <w:sz w:val="20"/>
              </w:rPr>
              <w:t>____________</w:t>
            </w:r>
          </w:p>
        </w:tc>
      </w:tr>
      <w:tr>
        <w:tc>
          <w:tcPr>
            <w:tcW w:type="dxa" w:w="2880"/>
          </w:tcPr>
          <w:p>
            <w:r/>
            <w:r>
              <w:rPr>
                <w:sz w:val="20"/>
              </w:rPr>
              <w:t>EDA / Visualización</w:t>
            </w:r>
          </w:p>
        </w:tc>
        <w:tc>
          <w:tcPr>
            <w:tcW w:type="dxa" w:w="2880"/>
          </w:tcPr>
          <w:p>
            <w:r/>
            <w:r>
              <w:rPr>
                <w:sz w:val="20"/>
              </w:rPr>
              <w:t>Análisis exploratorio, gráficos y storytelling</w:t>
            </w:r>
          </w:p>
        </w:tc>
        <w:tc>
          <w:tcPr>
            <w:tcW w:type="dxa" w:w="2880"/>
          </w:tcPr>
          <w:p>
            <w:r/>
            <w:r>
              <w:rPr>
                <w:sz w:val="20"/>
              </w:rPr>
              <w:t>____________</w:t>
            </w:r>
          </w:p>
        </w:tc>
      </w:tr>
      <w:tr>
        <w:tc>
          <w:tcPr>
            <w:tcW w:type="dxa" w:w="2880"/>
          </w:tcPr>
          <w:p>
            <w:r/>
            <w:r>
              <w:rPr>
                <w:sz w:val="20"/>
              </w:rPr>
              <w:t>App / Documentación</w:t>
            </w:r>
          </w:p>
        </w:tc>
        <w:tc>
          <w:tcPr>
            <w:tcW w:type="dxa" w:w="2880"/>
          </w:tcPr>
          <w:p>
            <w:r/>
            <w:r>
              <w:rPr>
                <w:sz w:val="20"/>
              </w:rPr>
              <w:t>App Streamlit, informe y presentación</w:t>
            </w:r>
          </w:p>
        </w:tc>
        <w:tc>
          <w:tcPr>
            <w:tcW w:type="dxa" w:w="2880"/>
          </w:tcPr>
          <w:p>
            <w:r/>
            <w:r>
              <w:rPr>
                <w:sz w:val="20"/>
              </w:rPr>
              <w:t>____________</w:t>
            </w:r>
          </w:p>
        </w:tc>
      </w:tr>
    </w:tbl>
    <w:p>
      <w:pPr>
        <w:pStyle w:val="Heading1"/>
      </w:pPr>
      <w:r>
        <w:rPr>
          <w:color w:val="0A0A0A"/>
        </w:rPr>
        <w:t>1. Dominio y problemática</w:t>
      </w:r>
    </w:p>
    <w:p>
      <w:r>
        <w:rPr>
          <w:b w:val="0"/>
          <w:i w:val="0"/>
          <w:sz w:val="22"/>
        </w:rPr>
        <w:t>El sector tecnológico argentino es dinámico, con alta rotación y exposición internacional. Sus salarios están atados a una macro muy volátil, lo que genera un problema concreto: no existe información integrada y comparable en el tiempo. Cada edición está en pesos de su momento, con un nivel de precios y un tipo de cambio distintos, por lo que comparar a valor nominal carece de sentido.</w:t>
      </w:r>
    </w:p>
    <w:p>
      <w:pPr>
        <w:pStyle w:val="ListBullet"/>
      </w:pPr>
      <w:r>
        <w:rPr>
          <w:b/>
        </w:rPr>
        <w:t xml:space="preserve">Fragmentación de las fuentes </w:t>
      </w:r>
      <w:r>
        <w:t>(encuesta + macro dispersa).</w:t>
      </w:r>
    </w:p>
    <w:p>
      <w:pPr>
        <w:pStyle w:val="ListBullet"/>
      </w:pPr>
      <w:r>
        <w:rPr>
          <w:b/>
        </w:rPr>
        <w:t xml:space="preserve">Falta de una medida de salario real </w:t>
      </w:r>
      <w:r>
        <w:t>comparable entre períodos.</w:t>
      </w:r>
    </w:p>
    <w:p>
      <w:pPr>
        <w:pStyle w:val="ListBullet"/>
      </w:pPr>
      <w:r>
        <w:rPr>
          <w:b/>
        </w:rPr>
        <w:t xml:space="preserve">Ausencia de una herramienta </w:t>
      </w:r>
      <w:r>
        <w:t>que traduzca el perfil en una estimación de mercado.</w:t>
      </w:r>
    </w:p>
    <w:p>
      <w:pPr>
        <w:pStyle w:val="Heading1"/>
      </w:pPr>
      <w:r>
        <w:rPr>
          <w:color w:val="0A0A0A"/>
        </w:rPr>
        <w:t>2. Hipótesis</w:t>
      </w:r>
    </w:p>
    <w:p>
      <w:r>
        <w:rPr>
          <w:b/>
          <w:i w:val="0"/>
          <w:color w:val="333333"/>
          <w:sz w:val="22"/>
        </w:rPr>
        <w:t>Hipótesis central</w:t>
      </w:r>
    </w:p>
    <w:p>
      <w:r>
        <w:rPr>
          <w:b w:val="0"/>
          <w:i/>
          <w:sz w:val="22"/>
        </w:rPr>
        <w:t>El sueldo real de un profesional tech está determinado por su perfil laboral (rol, experiencia) y su contexto (provincia, modalidad, tamaño de empresa), una vez expresado en moneda constante para que las ediciones sean comparables entre sí.</w:t>
      </w:r>
    </w:p>
    <w:p>
      <w:r>
        <w:rPr>
          <w:b/>
          <w:i w:val="0"/>
          <w:color w:val="333333"/>
          <w:sz w:val="22"/>
        </w:rPr>
        <w:t>Hipótesis desagregadas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w:t>
            </w:r>
          </w:p>
        </w:tc>
        <w:tc>
          <w:tcPr>
            <w:tcW w:type="dxa" w:w="4320"/>
          </w:tcPr>
          <w:p>
            <w:r/>
            <w:r>
              <w:rPr>
                <w:b/>
                <w:sz w:val="20"/>
              </w:rPr>
              <w:t>Hipótesis</w:t>
            </w:r>
          </w:p>
        </w:tc>
      </w:tr>
      <w:tr>
        <w:tc>
          <w:tcPr>
            <w:tcW w:type="dxa" w:w="4320"/>
          </w:tcPr>
          <w:p>
            <w:r/>
            <w:r>
              <w:rPr>
                <w:sz w:val="20"/>
              </w:rPr>
              <w:t>H1</w:t>
            </w:r>
          </w:p>
        </w:tc>
        <w:tc>
          <w:tcPr>
            <w:tcW w:type="dxa" w:w="4320"/>
          </w:tcPr>
          <w:p>
            <w:r/>
            <w:r>
              <w:rPr>
                <w:sz w:val="20"/>
              </w:rPr>
              <w:t>El seniority/experiencia es la variable más predictiva.</w:t>
            </w:r>
          </w:p>
        </w:tc>
      </w:tr>
      <w:tr>
        <w:tc>
          <w:tcPr>
            <w:tcW w:type="dxa" w:w="4320"/>
          </w:tcPr>
          <w:p>
            <w:r/>
            <w:r>
              <w:rPr>
                <w:sz w:val="20"/>
              </w:rPr>
              <w:t>H2</w:t>
            </w:r>
          </w:p>
        </w:tc>
        <w:tc>
          <w:tcPr>
            <w:tcW w:type="dxa" w:w="4320"/>
          </w:tcPr>
          <w:p>
            <w:r/>
            <w:r>
              <w:rPr>
                <w:sz w:val="20"/>
              </w:rPr>
              <w:t>La experiencia suma con rendimientos decrecientes.</w:t>
            </w:r>
          </w:p>
        </w:tc>
      </w:tr>
      <w:tr>
        <w:tc>
          <w:tcPr>
            <w:tcW w:type="dxa" w:w="4320"/>
          </w:tcPr>
          <w:p>
            <w:r/>
            <w:r>
              <w:rPr>
                <w:sz w:val="20"/>
              </w:rPr>
              <w:t>H3</w:t>
            </w:r>
          </w:p>
        </w:tc>
        <w:tc>
          <w:tcPr>
            <w:tcW w:type="dxa" w:w="4320"/>
          </w:tcPr>
          <w:p>
            <w:r/>
            <w:r>
              <w:rPr>
                <w:sz w:val="20"/>
              </w:rPr>
              <w:t>Ciertas tecnologías tienen premium salarial.</w:t>
            </w:r>
          </w:p>
        </w:tc>
      </w:tr>
      <w:tr>
        <w:tc>
          <w:tcPr>
            <w:tcW w:type="dxa" w:w="4320"/>
          </w:tcPr>
          <w:p>
            <w:r/>
            <w:r>
              <w:rPr>
                <w:sz w:val="20"/>
              </w:rPr>
              <w:t>H4</w:t>
            </w:r>
          </w:p>
        </w:tc>
        <w:tc>
          <w:tcPr>
            <w:tcW w:type="dxa" w:w="4320"/>
          </w:tcPr>
          <w:p>
            <w:r/>
            <w:r>
              <w:rPr>
                <w:sz w:val="20"/>
              </w:rPr>
              <w:t>CABA paga más que el interior, pero menos de lo que se cree.</w:t>
            </w:r>
          </w:p>
        </w:tc>
      </w:tr>
      <w:tr>
        <w:tc>
          <w:tcPr>
            <w:tcW w:type="dxa" w:w="4320"/>
          </w:tcPr>
          <w:p>
            <w:r/>
            <w:r>
              <w:rPr>
                <w:sz w:val="20"/>
              </w:rPr>
              <w:t>H5</w:t>
            </w:r>
          </w:p>
        </w:tc>
        <w:tc>
          <w:tcPr>
            <w:tcW w:type="dxa" w:w="4320"/>
          </w:tcPr>
          <w:p>
            <w:r/>
            <w:r>
              <w:rPr>
                <w:sz w:val="20"/>
              </w:rPr>
              <w:t>Quienes cobran en dólares tienen poder de compra más estable.</w:t>
            </w:r>
          </w:p>
        </w:tc>
      </w:tr>
      <w:tr>
        <w:tc>
          <w:tcPr>
            <w:tcW w:type="dxa" w:w="4320"/>
          </w:tcPr>
          <w:p>
            <w:r/>
            <w:r>
              <w:rPr>
                <w:sz w:val="20"/>
              </w:rPr>
              <w:t>H6</w:t>
            </w:r>
          </w:p>
        </w:tc>
        <w:tc>
          <w:tcPr>
            <w:tcW w:type="dxa" w:w="4320"/>
          </w:tcPr>
          <w:p>
            <w:r/>
            <w:r>
              <w:rPr>
                <w:sz w:val="20"/>
              </w:rPr>
              <w:t>Cuando el ITCRM sube, suben los sueldos en USD.</w:t>
            </w:r>
          </w:p>
        </w:tc>
      </w:tr>
    </w:tbl>
    <w:p>
      <w:pPr>
        <w:pStyle w:val="Heading1"/>
      </w:pPr>
      <w:r>
        <w:rPr>
          <w:color w:val="0A0A0A"/>
        </w:rPr>
        <w:t>3. Propuesta y valor para el negocio</w:t>
      </w:r>
    </w:p>
    <w:p>
      <w:r>
        <w:rPr>
          <w:b w:val="0"/>
          <w:i w:val="0"/>
          <w:sz w:val="22"/>
        </w:rPr>
        <w:t>Se construyó un pipeline reproducible que unifica las seis ediciones con ocho series macro, produce un dataset analítico único y alimenta modelos predictivos, de segmentación y una app.</w:t>
      </w:r>
    </w:p>
    <w:p>
      <w:r>
        <w:rPr>
          <w:b/>
          <w:i w:val="0"/>
          <w:sz w:val="22"/>
        </w:rPr>
        <w:t>Valor para la gerencia:</w:t>
      </w:r>
    </w:p>
    <w:p>
      <w:pPr>
        <w:pStyle w:val="ListBullet"/>
      </w:pPr>
      <w:r>
        <w:t>Benchmarking salarial objetivo para ofertas y retención.</w:t>
      </w:r>
    </w:p>
    <w:p>
      <w:pPr>
        <w:pStyle w:val="ListBullet"/>
      </w:pPr>
      <w:r>
        <w:t>Identificación de brechas y de los factores que mueven el sueldo.</w:t>
      </w:r>
    </w:p>
    <w:p>
      <w:pPr>
        <w:pStyle w:val="ListBullet"/>
      </w:pPr>
      <w:r>
        <w:t>Lectura del impacto macro (dólar y tipo de cambio real) sobre el costo del talento.</w:t>
      </w:r>
    </w:p>
    <w:p>
      <w:pPr>
        <w:pStyle w:val="ListBullet"/>
      </w:pPr>
      <w:r>
        <w:t>Herramienta viva que se reentrena con cada nueva edición.</w:t>
      </w:r>
    </w:p>
    <w:p>
      <w:pPr>
        <w:pStyle w:val="Heading1"/>
      </w:pPr>
      <w:r>
        <w:rPr>
          <w:color w:val="0A0A0A"/>
        </w:rPr>
        <w:t>4. Arquitectura del pipeline y fuentes</w:t>
      </w:r>
    </w:p>
    <w:p>
      <w:r>
        <w:rPr>
          <w:b w:val="0"/>
          <w:i w:val="0"/>
          <w:sz w:val="22"/>
        </w:rPr>
        <w:t>Flujo: (1) descarga, (2) limpieza y unificación, (3) ajuste a valores reales con base común (mayo 2026) y (4) dataset final más una tabla de contexto macro vinculada por fecha de edición.</w:t>
      </w:r>
    </w:p>
    <w:p>
      <w:r>
        <w:rPr>
          <w:b/>
          <w:i w:val="0"/>
          <w:sz w:val="22"/>
        </w:rPr>
        <w:t>Fuentes integradas (9):</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Fuente</w:t>
            </w:r>
          </w:p>
        </w:tc>
        <w:tc>
          <w:tcPr>
            <w:tcW w:type="dxa" w:w="4320"/>
          </w:tcPr>
          <w:p>
            <w:r/>
            <w:r>
              <w:rPr>
                <w:b/>
                <w:sz w:val="20"/>
              </w:rPr>
              <w:t>Aporte</w:t>
            </w:r>
          </w:p>
        </w:tc>
      </w:tr>
      <w:tr>
        <w:tc>
          <w:tcPr>
            <w:tcW w:type="dxa" w:w="4320"/>
          </w:tcPr>
          <w:p>
            <w:r/>
            <w:r>
              <w:rPr>
                <w:sz w:val="20"/>
              </w:rPr>
              <w:t>Sysarmy (6 ediciones)</w:t>
            </w:r>
          </w:p>
        </w:tc>
        <w:tc>
          <w:tcPr>
            <w:tcW w:type="dxa" w:w="4320"/>
          </w:tcPr>
          <w:p>
            <w:r/>
            <w:r>
              <w:rPr>
                <w:sz w:val="20"/>
              </w:rPr>
              <w:t>Salarios y perfiles — 31.088 respuestas (2022–2025)</w:t>
            </w:r>
          </w:p>
        </w:tc>
      </w:tr>
      <w:tr>
        <w:tc>
          <w:tcPr>
            <w:tcW w:type="dxa" w:w="4320"/>
          </w:tcPr>
          <w:p>
            <w:r/>
            <w:r>
              <w:rPr>
                <w:sz w:val="20"/>
              </w:rPr>
              <w:t>IPC INDEC</w:t>
            </w:r>
          </w:p>
        </w:tc>
        <w:tc>
          <w:tcPr>
            <w:tcW w:type="dxa" w:w="4320"/>
          </w:tcPr>
          <w:p>
            <w:r/>
            <w:r>
              <w:rPr>
                <w:sz w:val="20"/>
              </w:rPr>
              <w:t>Inflación argentina (deflactor de pesos)</w:t>
            </w:r>
          </w:p>
        </w:tc>
      </w:tr>
      <w:tr>
        <w:tc>
          <w:tcPr>
            <w:tcW w:type="dxa" w:w="4320"/>
          </w:tcPr>
          <w:p>
            <w:r/>
            <w:r>
              <w:rPr>
                <w:sz w:val="20"/>
              </w:rPr>
              <w:t>Dólar MEP (Blue, bluelytics)</w:t>
            </w:r>
          </w:p>
        </w:tc>
        <w:tc>
          <w:tcPr>
            <w:tcW w:type="dxa" w:w="4320"/>
          </w:tcPr>
          <w:p>
            <w:r/>
            <w:r>
              <w:rPr>
                <w:sz w:val="20"/>
              </w:rPr>
              <w:t>Tipo de cambio histórico</w:t>
            </w:r>
          </w:p>
        </w:tc>
      </w:tr>
      <w:tr>
        <w:tc>
          <w:tcPr>
            <w:tcW w:type="dxa" w:w="4320"/>
          </w:tcPr>
          <w:p>
            <w:r/>
            <w:r>
              <w:rPr>
                <w:sz w:val="20"/>
              </w:rPr>
              <w:t>US CPI (FRED)</w:t>
            </w:r>
          </w:p>
        </w:tc>
        <w:tc>
          <w:tcPr>
            <w:tcW w:type="dxa" w:w="4320"/>
          </w:tcPr>
          <w:p>
            <w:r/>
            <w:r>
              <w:rPr>
                <w:sz w:val="20"/>
              </w:rPr>
              <w:t>Inflación de EE.UU. (deflactor de dólares)</w:t>
            </w:r>
          </w:p>
        </w:tc>
      </w:tr>
      <w:tr>
        <w:tc>
          <w:tcPr>
            <w:tcW w:type="dxa" w:w="4320"/>
          </w:tcPr>
          <w:p>
            <w:r/>
            <w:r>
              <w:rPr>
                <w:sz w:val="20"/>
              </w:rPr>
              <w:t>CBT INDEC</w:t>
            </w:r>
          </w:p>
        </w:tc>
        <w:tc>
          <w:tcPr>
            <w:tcW w:type="dxa" w:w="4320"/>
          </w:tcPr>
          <w:p>
            <w:r/>
            <w:r>
              <w:rPr>
                <w:sz w:val="20"/>
              </w:rPr>
              <w:t>Canasta básica total</w:t>
            </w:r>
          </w:p>
        </w:tc>
      </w:tr>
      <w:tr>
        <w:tc>
          <w:tcPr>
            <w:tcW w:type="dxa" w:w="4320"/>
          </w:tcPr>
          <w:p>
            <w:r/>
            <w:r>
              <w:rPr>
                <w:sz w:val="20"/>
              </w:rPr>
              <w:t>RIPTE</w:t>
            </w:r>
          </w:p>
        </w:tc>
        <w:tc>
          <w:tcPr>
            <w:tcW w:type="dxa" w:w="4320"/>
          </w:tcPr>
          <w:p>
            <w:r/>
            <w:r>
              <w:rPr>
                <w:sz w:val="20"/>
              </w:rPr>
              <w:t>Salario formal promedio (benchmark)</w:t>
            </w:r>
          </w:p>
        </w:tc>
      </w:tr>
      <w:tr>
        <w:tc>
          <w:tcPr>
            <w:tcW w:type="dxa" w:w="4320"/>
          </w:tcPr>
          <w:p>
            <w:r/>
            <w:r>
              <w:rPr>
                <w:sz w:val="20"/>
              </w:rPr>
              <w:t>Big Mac Index</w:t>
            </w:r>
          </w:p>
        </w:tc>
        <w:tc>
          <w:tcPr>
            <w:tcW w:type="dxa" w:w="4320"/>
          </w:tcPr>
          <w:p>
            <w:r/>
            <w:r>
              <w:rPr>
                <w:sz w:val="20"/>
              </w:rPr>
              <w:t>Paridad de poder adquisitivo</w:t>
            </w:r>
          </w:p>
        </w:tc>
      </w:tr>
      <w:tr>
        <w:tc>
          <w:tcPr>
            <w:tcW w:type="dxa" w:w="4320"/>
          </w:tcPr>
          <w:p>
            <w:r/>
            <w:r>
              <w:rPr>
                <w:sz w:val="20"/>
              </w:rPr>
              <w:t>ITCRM (BCRA)</w:t>
            </w:r>
          </w:p>
        </w:tc>
        <w:tc>
          <w:tcPr>
            <w:tcW w:type="dxa" w:w="4320"/>
          </w:tcPr>
          <w:p>
            <w:r/>
            <w:r>
              <w:rPr>
                <w:sz w:val="20"/>
              </w:rPr>
              <w:t>Tipo de cambio real multilateral</w:t>
            </w:r>
          </w:p>
        </w:tc>
      </w:tr>
      <w:tr>
        <w:tc>
          <w:tcPr>
            <w:tcW w:type="dxa" w:w="4320"/>
          </w:tcPr>
          <w:p>
            <w:r/>
            <w:r>
              <w:rPr>
                <w:sz w:val="20"/>
              </w:rPr>
              <w:t>Stack Overflow</w:t>
            </w:r>
          </w:p>
        </w:tc>
        <w:tc>
          <w:tcPr>
            <w:tcW w:type="dxa" w:w="4320"/>
          </w:tcPr>
          <w:p>
            <w:r/>
            <w:r>
              <w:rPr>
                <w:sz w:val="20"/>
              </w:rPr>
              <w:t>Benchmark internacional (separado)</w:t>
            </w:r>
          </w:p>
        </w:tc>
      </w:tr>
    </w:tbl>
    <w:p>
      <w:r>
        <w:rPr>
          <w:b w:val="0"/>
          <w:i/>
          <w:sz w:val="22"/>
        </w:rPr>
        <w:t>Reproducibilidad: los CSV crudos no viajan con el repositorio (el de Stack Overflow pesa 140 MB, por encima del límite de GitHub), pero cada fuente tiene un gemelo .parquet liviano versionado en data/raw/ (140 MB → 11 MB). El pipeline los usa automáticamente si el CSV no está, de modo que cualquier integrante reproduce todo el trabajo con un simple clon del repositorio.</w:t>
      </w:r>
    </w:p>
    <w:p>
      <w:pPr>
        <w:pStyle w:val="Heading1"/>
      </w:pPr>
      <w:r>
        <w:rPr>
          <w:color w:val="0A0A0A"/>
        </w:rPr>
        <w:t>5. Limpieza de datos y dificultades resueltas</w:t>
      </w:r>
    </w:p>
    <w:p>
      <w:r>
        <w:rPr>
          <w:b w:val="0"/>
          <w:i w:val="0"/>
          <w:sz w:val="22"/>
        </w:rPr>
        <w:t>La principal complejidad no fue limpiar datos sucios —los campos son en su mayoría desplegables controlados— sino integrar y hacer comparables fuentes heterogéneas. De 32.309 filas crudas se llegó a 31.088 finales (sólo 3,8% descartado). Decisiones clave:</w:t>
      </w:r>
    </w:p>
    <w:p>
      <w:pPr>
        <w:pStyle w:val="ListBullet"/>
      </w:pPr>
      <w:r>
        <w:rPr>
          <w:b/>
        </w:rPr>
        <w:t xml:space="preserve">Armonización de esquemas: </w:t>
      </w:r>
      <w:r>
        <w:t>cada edición tenía 43–56 columnas con nombres distintos; se mapearon al mismo esquema por coincidencia de tokens.</w:t>
      </w:r>
    </w:p>
    <w:p>
      <w:pPr>
        <w:pStyle w:val="ListBullet"/>
      </w:pPr>
      <w:r>
        <w:rPr>
          <w:b/>
        </w:rPr>
        <w:t xml:space="preserve">Parseo y tipado: </w:t>
      </w:r>
      <w:r>
        <w:t>salario de texto a número, fechas, normalización de texto.</w:t>
      </w:r>
    </w:p>
    <w:p>
      <w:pPr>
        <w:pStyle w:val="ListBullet"/>
      </w:pPr>
      <w:r>
        <w:rPr>
          <w:b/>
        </w:rPr>
        <w:t xml:space="preserve">Valores faltantes: </w:t>
      </w:r>
      <w:r>
        <w:t>eliminación en columnas críticas (provincia, salario) e imputación por mediana/moda en el resto.</w:t>
      </w:r>
    </w:p>
    <w:p>
      <w:pPr>
        <w:pStyle w:val="ListBullet"/>
      </w:pPr>
      <w:r>
        <w:rPr>
          <w:b/>
        </w:rPr>
        <w:t xml:space="preserve">Ajuste por moneda nativa: </w:t>
      </w:r>
      <w:r>
        <w:t>un sueldo dolarizado no pierde valor con la inflación local; se ajusta por la inflación del país de su moneda, de modo que el cociente pesos/dólares sea un tipo de cambio coherente.</w:t>
      </w:r>
    </w:p>
    <w:p>
      <w:pPr>
        <w:pStyle w:val="ListBullet"/>
      </w:pPr>
      <w:r>
        <w:rPr>
          <w:b/>
        </w:rPr>
        <w:t xml:space="preserve">Outliers: </w:t>
      </w:r>
      <w:r>
        <w:t>se conservan marcados; sólo se descartan errores de carga evidentes (&gt;50× la mediana).</w:t>
      </w:r>
    </w:p>
    <w:p>
      <w:pPr>
        <w:pStyle w:val="Heading1"/>
      </w:pPr>
      <w:r>
        <w:rPr>
          <w:color w:val="0A0A0A"/>
        </w:rPr>
        <w:t>6. Feature engineering</w:t>
      </w:r>
    </w:p>
    <w:p>
      <w:r>
        <w:rPr>
          <w:b w:val="0"/>
          <w:i w:val="0"/>
          <w:sz w:val="22"/>
        </w:rPr>
        <w:t>El feature engineering convierte el perfil crudo en variables que el modelo puede aprovechar. Cada transformación responde a una justificación concreta:</w:t>
      </w:r>
    </w:p>
    <w:p>
      <w:pPr>
        <w:pStyle w:val="ListBullet"/>
      </w:pPr>
      <w:r>
        <w:rPr>
          <w:b/>
        </w:rPr>
        <w:t xml:space="preserve">Tecnologías — excluidas como features: </w:t>
      </w:r>
      <w:r>
        <w:t>el campo multivaluado se evaluó como multi-hot (top 20), pero se excluyó del modelo final porque su premium es un proxy del contexto y generaba ruido en perfiles atípicos (detalle en «Roles de alta cardinalidad y tecnologías»). El análisis descriptivo se conserva en el EDA.</w:t>
      </w:r>
    </w:p>
    <w:p>
      <w:pPr>
        <w:pStyle w:val="ListBullet"/>
      </w:pPr>
      <w:r>
        <w:rPr>
          <w:b/>
        </w:rPr>
        <w:t xml:space="preserve">Agrupación de roles (698 → top 15 + «Otro»): </w:t>
      </w:r>
      <w:r>
        <w:t>las categorías con pocos casos producen dummies ruidosas y overfitting; agruparlas concentra la señal.</w:t>
      </w:r>
    </w:p>
    <w:p>
      <w:pPr>
        <w:pStyle w:val="ListBullet"/>
      </w:pPr>
      <w:r>
        <w:rPr>
          <w:b/>
        </w:rPr>
        <w:t xml:space="preserve">Agrupación de provincias (&lt;100 registros → «Otra»): </w:t>
      </w:r>
      <w:r>
        <w:t>misma justificación que en los roles.</w:t>
      </w:r>
    </w:p>
    <w:p>
      <w:pPr>
        <w:pStyle w:val="ListBullet"/>
      </w:pPr>
      <w:r>
        <w:rPr>
          <w:b/>
        </w:rPr>
        <w:t xml:space="preserve">One-hot de las categóricas </w:t>
      </w:r>
      <w:r>
        <w:t>(provincia, género, modalidad, tamaño de empresa, rol, cobra en dólares): los modelos requieren entradas numéricas y el one-hot no impone un orden falso.</w:t>
      </w:r>
    </w:p>
    <w:p>
      <w:pPr>
        <w:pStyle w:val="ListBullet"/>
      </w:pPr>
      <w:r>
        <w:rPr>
          <w:b/>
        </w:rPr>
        <w:t xml:space="preserve">Ingeniería del target: </w:t>
      </w:r>
      <w:r>
        <w:t>el salario nominal se transformó en salario real (deflación por IPC para pesos y por US CPI para dólares, base mayo 2026). Justificación: es lo que hace comparable el objetivo entre ediciones; sin esto el modelo aprendería el paso del tiempo, no el perfil.</w:t>
      </w:r>
    </w:p>
    <w:p>
      <w:pPr>
        <w:pStyle w:val="ListBullet"/>
      </w:pPr>
      <w:r>
        <w:rPr>
          <w:b/>
        </w:rPr>
        <w:t xml:space="preserve">Selección de variables: </w:t>
      </w:r>
      <w:r>
        <w:t>se excluyó «seniority» por ser redundante con los años de experiencia (multicolinealidad), y se excluyeron las variables derivadas del propio salario (USD, canastas básicas) para evitar fuga de información (data leakage).</w:t>
      </w:r>
    </w:p>
    <w:p>
      <w:r>
        <w:rPr>
          <w:b w:val="0"/>
          <w:i/>
          <w:sz w:val="22"/>
        </w:rPr>
        <w:t>Las variables numéricas se estandarizan dentro de un Pipeline de scikit-learn —ajustado sólo con los datos de entrenamiento— para los modelos lineales; los árboles no lo requieren. Este encapsulado garantiza que no haya filtración entre train y test.</w:t>
      </w:r>
    </w:p>
    <w:p>
      <w:r>
        <w:rPr>
          <w:b/>
          <w:i w:val="0"/>
          <w:color w:val="333333"/>
          <w:sz w:val="22"/>
        </w:rPr>
        <w:t>Tratamiento de outliers</w:t>
      </w:r>
    </w:p>
    <w:p>
      <w:r>
        <w:rPr>
          <w:b w:val="0"/>
          <w:i w:val="0"/>
          <w:sz w:val="22"/>
        </w:rPr>
        <w:t>Los salarios extremos se marcaron con una bandera (columna es_outlier: por debajo del percentil 1 o por encima del 99 del salario real) pero NO se eliminaron: son 622 casos (2% del total). Durante la limpieza sólo se descartaron los errores de carga evidentes —valores fuera de 50 veces la mediana de su edición, típicamente un sueldo cargado en miles o en la moneda equivocada—. El modelo predictivo conserva los outliers, para no sesgar el aprendizaje eliminando salarios altos legítimos (un CTO o un perfil muy senior es un outlier válido); la bandera queda disponible por si se quisiera excluirlos en un análisis posterior.</w:t>
      </w:r>
    </w:p>
    <w:p>
      <w:r>
        <w:rPr>
          <w:b/>
          <w:i w:val="0"/>
          <w:color w:val="333333"/>
          <w:sz w:val="22"/>
        </w:rPr>
        <w:t>Roles de alta cardinalidad y tecnologías</w:t>
      </w:r>
    </w:p>
    <w:p>
      <w:r>
        <w:rPr>
          <w:b w:val="0"/>
          <w:i w:val="0"/>
          <w:sz w:val="22"/>
        </w:rPr>
        <w:t>El rol y las tecnologías son campos con muchísimos valores distintos (698 roles y 396 tecnologías únicas). Se trataron con dos decisiones distintas:</w:t>
      </w:r>
    </w:p>
    <w:p>
      <w:pPr>
        <w:pStyle w:val="ListBullet"/>
      </w:pPr>
      <w:r>
        <w:rPr>
          <w:b/>
        </w:rPr>
        <w:t xml:space="preserve">Roles — agrupación top-N: </w:t>
      </w:r>
      <w:r>
        <w:t>se conservan los 15 roles más frecuentes y el resto se agrupa en «Otro». Los 15 principales ya cubren el 90% de los registros; los otros 683 suman apenas el 10%, con muy pocos casos cada uno.</w:t>
      </w:r>
    </w:p>
    <w:p>
      <w:pPr>
        <w:pStyle w:val="ListBullet"/>
      </w:pPr>
      <w:r>
        <w:rPr>
          <w:b/>
        </w:rPr>
        <w:t xml:space="preserve">Tecnologías — EXCLUIDAS del modelo: </w:t>
      </w:r>
      <w:r>
        <w:t>como features individuales generaban ruido y extrapolación en perfiles atípicos (poner «Go» en un helpdesk inflaba la predicción hacia una combinación que no existe en los datos), y su premium es en realidad un proxy del contexto laboral (backend/infra, empresas dolarizadas), no un efecto del lenguaje. Quitarlas casi no afecta el desempeño (el R² baja de 0,30 a 0,27) y da un modelo más robusto. El análisis descriptivo de tecnologías se conserva en el EDA (hipótesis H3).</w:t>
      </w:r>
    </w:p>
    <w:p>
      <w:r>
        <w:rPr>
          <w:b w:val="0"/>
          <w:i w:val="0"/>
          <w:sz w:val="22"/>
        </w:rPr>
        <w:t>Agrupar los roles concentra la señal sin perder capacidad predictiva. La curva de Pareto lo muestra: unos pocos roles/tecnologías concentran casi todo, y el resto es una cola larga.</w:t>
      </w:r>
    </w:p>
    <w:p>
      <w:pPr>
        <w:jc w:val="center"/>
      </w:pPr>
      <w:r>
        <w:drawing>
          <wp:inline xmlns:a="http://schemas.openxmlformats.org/drawingml/2006/main" xmlns:pic="http://schemas.openxmlformats.org/drawingml/2006/picture">
            <wp:extent cx="5669280" cy="2245639"/>
            <wp:docPr id="1" name="Picture 1"/>
            <wp:cNvGraphicFramePr>
              <a:graphicFrameLocks noChangeAspect="1"/>
            </wp:cNvGraphicFramePr>
            <a:graphic>
              <a:graphicData uri="http://schemas.openxmlformats.org/drawingml/2006/picture">
                <pic:pic>
                  <pic:nvPicPr>
                    <pic:cNvPr id="0" name="cobertura_roles_techs.png"/>
                    <pic:cNvPicPr/>
                  </pic:nvPicPr>
                  <pic:blipFill>
                    <a:blip r:embed="rId9"/>
                    <a:stretch>
                      <a:fillRect/>
                    </a:stretch>
                  </pic:blipFill>
                  <pic:spPr>
                    <a:xfrm>
                      <a:off x="0" y="0"/>
                      <a:ext cx="5669280" cy="2245639"/>
                    </a:xfrm>
                    <a:prstGeom prst="rect"/>
                  </pic:spPr>
                </pic:pic>
              </a:graphicData>
            </a:graphic>
          </wp:inline>
        </w:drawing>
      </w:r>
    </w:p>
    <w:p>
      <w:pPr>
        <w:jc w:val="center"/>
      </w:pPr>
      <w:r>
        <w:rPr>
          <w:b w:val="0"/>
          <w:i/>
          <w:sz w:val="18"/>
        </w:rPr>
        <w:t>Distribución de frecuencia de roles y tecnologías (Pareto): el top-N concentra la señal; la cola larga aporta poco.</w:t>
      </w:r>
    </w:p>
    <w:p>
      <w:pPr>
        <w:pStyle w:val="Heading1"/>
      </w:pPr>
      <w:r>
        <w:rPr>
          <w:color w:val="0A0A0A"/>
        </w:rPr>
        <w:t>7. Análisis exploratorio (EDA)</w:t>
      </w:r>
    </w:p>
    <w:p>
      <w:r>
        <w:rPr>
          <w:b w:val="0"/>
          <w:i w:val="0"/>
          <w:sz w:val="22"/>
        </w:rPr>
        <w:t>Todo se analiza en moneda real de mayo 2026. La mediana del mercado es de $3,19 M (USD 2.264) mensuales brutos.</w:t>
      </w:r>
    </w:p>
    <w:p>
      <w:pPr>
        <w:jc w:val="center"/>
      </w:pPr>
      <w:r>
        <w:drawing>
          <wp:inline xmlns:a="http://schemas.openxmlformats.org/drawingml/2006/main" xmlns:pic="http://schemas.openxmlformats.org/drawingml/2006/picture">
            <wp:extent cx="5760720" cy="2065210"/>
            <wp:docPr id="2" name="Picture 2"/>
            <wp:cNvGraphicFramePr>
              <a:graphicFrameLocks noChangeAspect="1"/>
            </wp:cNvGraphicFramePr>
            <a:graphic>
              <a:graphicData uri="http://schemas.openxmlformats.org/drawingml/2006/picture">
                <pic:pic>
                  <pic:nvPicPr>
                    <pic:cNvPr id="0" name="distribucion_bn.png"/>
                    <pic:cNvPicPr/>
                  </pic:nvPicPr>
                  <pic:blipFill>
                    <a:blip r:embed="rId10"/>
                    <a:stretch>
                      <a:fillRect/>
                    </a:stretch>
                  </pic:blipFill>
                  <pic:spPr>
                    <a:xfrm>
                      <a:off x="0" y="0"/>
                      <a:ext cx="5760720" cy="2065210"/>
                    </a:xfrm>
                    <a:prstGeom prst="rect"/>
                  </pic:spPr>
                </pic:pic>
              </a:graphicData>
            </a:graphic>
          </wp:inline>
        </w:drawing>
      </w:r>
    </w:p>
    <w:p>
      <w:pPr>
        <w:jc w:val="center"/>
      </w:pPr>
      <w:r>
        <w:rPr>
          <w:b w:val="0"/>
          <w:i/>
          <w:sz w:val="18"/>
        </w:rPr>
        <w:t>Figura 1. Distribución de salarios reales (pesos y dólares).</w:t>
      </w:r>
    </w:p>
    <w:p>
      <w:r>
        <w:rPr>
          <w:b w:val="0"/>
          <w:i w:val="0"/>
          <w:sz w:val="22"/>
        </w:rPr>
        <w:t>Seniority ordena el salario casi sin solapamiento (mediana junior $1,8 M; senior $4,3 M). CABA paga +24% que el interior y el trabajo remoto +43% en dólares que el presencial. El premium por tecnología depende de cuál se use (Go +45%, Rust +48%, Python +13%), no de cuántas.</w:t>
      </w:r>
    </w:p>
    <w:p>
      <w:pPr>
        <w:jc w:val="center"/>
      </w:pPr>
      <w:r>
        <w:drawing>
          <wp:inline xmlns:a="http://schemas.openxmlformats.org/drawingml/2006/main" xmlns:pic="http://schemas.openxmlformats.org/drawingml/2006/picture">
            <wp:extent cx="5486400" cy="3958159"/>
            <wp:docPr id="3" name="Picture 3"/>
            <wp:cNvGraphicFramePr>
              <a:graphicFrameLocks noChangeAspect="1"/>
            </wp:cNvGraphicFramePr>
            <a:graphic>
              <a:graphicData uri="http://schemas.openxmlformats.org/drawingml/2006/picture">
                <pic:pic>
                  <pic:nvPicPr>
                    <pic:cNvPr id="0" name="eda_04_tecnologias.png"/>
                    <pic:cNvPicPr/>
                  </pic:nvPicPr>
                  <pic:blipFill>
                    <a:blip r:embed="rId11"/>
                    <a:stretch>
                      <a:fillRect/>
                    </a:stretch>
                  </pic:blipFill>
                  <pic:spPr>
                    <a:xfrm>
                      <a:off x="0" y="0"/>
                      <a:ext cx="5486400" cy="3958159"/>
                    </a:xfrm>
                    <a:prstGeom prst="rect"/>
                  </pic:spPr>
                </pic:pic>
              </a:graphicData>
            </a:graphic>
          </wp:inline>
        </w:drawing>
      </w:r>
    </w:p>
    <w:p>
      <w:pPr>
        <w:jc w:val="center"/>
      </w:pPr>
      <w:r>
        <w:rPr>
          <w:b w:val="0"/>
          <w:i/>
          <w:sz w:val="18"/>
        </w:rPr>
        <w:t>Figura 2. Frecuencia y premium salarial por tecnología.</w:t>
      </w:r>
    </w:p>
    <w:p>
      <w:pPr>
        <w:pStyle w:val="Heading1"/>
      </w:pPr>
      <w:r>
        <w:rPr>
          <w:color w:val="0A0A0A"/>
        </w:rPr>
        <w:t>8. Modelado supervisado — Random Forest</w:t>
      </w:r>
    </w:p>
    <w:p>
      <w:r>
        <w:rPr>
          <w:b w:val="0"/>
          <w:i w:val="0"/>
          <w:sz w:val="22"/>
        </w:rPr>
        <w:t>Variable objetivo: el salario real (entrenado en pesos y, en paralelo, en dólares; como difieren sólo en una constante, el R² es idéntico). Se compararon cinco técnicas con validación temporal: se entrena con las ediciones previas y se evalúa sobre la última (2025.2), nunca vista.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Modelo</w:t>
            </w:r>
          </w:p>
        </w:tc>
        <w:tc>
          <w:tcPr>
            <w:tcW w:type="dxa" w:w="2160"/>
          </w:tcPr>
          <w:p>
            <w:r/>
            <w:r>
              <w:rPr>
                <w:b/>
                <w:sz w:val="20"/>
              </w:rPr>
              <w:t>R² (test)</w:t>
            </w:r>
          </w:p>
        </w:tc>
        <w:tc>
          <w:tcPr>
            <w:tcW w:type="dxa" w:w="2160"/>
          </w:tcPr>
          <w:p>
            <w:r/>
            <w:r>
              <w:rPr>
                <w:b/>
                <w:sz w:val="20"/>
              </w:rPr>
              <w:t>RMSE (test)</w:t>
            </w:r>
          </w:p>
        </w:tc>
        <w:tc>
          <w:tcPr>
            <w:tcW w:type="dxa" w:w="2160"/>
          </w:tcPr>
          <w:p>
            <w:r/>
            <w:r>
              <w:rPr>
                <w:b/>
                <w:sz w:val="20"/>
              </w:rPr>
              <w:t>Overfitting</w:t>
            </w:r>
          </w:p>
        </w:tc>
      </w:tr>
      <w:tr>
        <w:tc>
          <w:tcPr>
            <w:tcW w:type="dxa" w:w="2160"/>
          </w:tcPr>
          <w:p>
            <w:r/>
            <w:r>
              <w:rPr>
                <w:sz w:val="20"/>
              </w:rPr>
              <w:t>Regresión lineal simple (sólo experiencia)</w:t>
            </w:r>
          </w:p>
        </w:tc>
        <w:tc>
          <w:tcPr>
            <w:tcW w:type="dxa" w:w="2160"/>
          </w:tcPr>
          <w:p>
            <w:r/>
            <w:r>
              <w:rPr>
                <w:sz w:val="20"/>
              </w:rPr>
              <w:t>0.13</w:t>
            </w:r>
          </w:p>
        </w:tc>
        <w:tc>
          <w:tcPr>
            <w:tcW w:type="dxa" w:w="2160"/>
          </w:tcPr>
          <w:p>
            <w:r/>
            <w:r>
              <w:rPr>
                <w:sz w:val="20"/>
              </w:rPr>
              <w:t>$2,18 M</w:t>
            </w:r>
          </w:p>
        </w:tc>
        <w:tc>
          <w:tcPr>
            <w:tcW w:type="dxa" w:w="2160"/>
          </w:tcPr>
          <w:p>
            <w:r/>
            <w:r>
              <w:rPr>
                <w:sz w:val="20"/>
              </w:rPr>
              <w:t>no</w:t>
            </w:r>
          </w:p>
        </w:tc>
      </w:tr>
      <w:tr>
        <w:tc>
          <w:tcPr>
            <w:tcW w:type="dxa" w:w="2160"/>
          </w:tcPr>
          <w:p>
            <w:r/>
            <w:r>
              <w:rPr>
                <w:sz w:val="20"/>
              </w:rPr>
              <w:t>Regresión lineal múltiple</w:t>
            </w:r>
          </w:p>
        </w:tc>
        <w:tc>
          <w:tcPr>
            <w:tcW w:type="dxa" w:w="2160"/>
          </w:tcPr>
          <w:p>
            <w:r/>
            <w:r>
              <w:rPr>
                <w:sz w:val="20"/>
              </w:rPr>
              <w:t>0.22</w:t>
            </w:r>
          </w:p>
        </w:tc>
        <w:tc>
          <w:tcPr>
            <w:tcW w:type="dxa" w:w="2160"/>
          </w:tcPr>
          <w:p>
            <w:r/>
            <w:r>
              <w:rPr>
                <w:sz w:val="20"/>
              </w:rPr>
              <w:t>$2,07 M</w:t>
            </w:r>
          </w:p>
        </w:tc>
        <w:tc>
          <w:tcPr>
            <w:tcW w:type="dxa" w:w="2160"/>
          </w:tcPr>
          <w:p>
            <w:r/>
            <w:r>
              <w:rPr>
                <w:sz w:val="20"/>
              </w:rPr>
              <w:t>no</w:t>
            </w:r>
          </w:p>
        </w:tc>
      </w:tr>
      <w:tr>
        <w:tc>
          <w:tcPr>
            <w:tcW w:type="dxa" w:w="2160"/>
          </w:tcPr>
          <w:p>
            <w:r/>
            <w:r>
              <w:rPr>
                <w:sz w:val="20"/>
              </w:rPr>
              <w:t>Regresión polinómica (grado 2)</w:t>
            </w:r>
          </w:p>
        </w:tc>
        <w:tc>
          <w:tcPr>
            <w:tcW w:type="dxa" w:w="2160"/>
          </w:tcPr>
          <w:p>
            <w:r/>
            <w:r>
              <w:rPr>
                <w:sz w:val="20"/>
              </w:rPr>
              <w:t>0.28</w:t>
            </w:r>
          </w:p>
        </w:tc>
        <w:tc>
          <w:tcPr>
            <w:tcW w:type="dxa" w:w="2160"/>
          </w:tcPr>
          <w:p>
            <w:r/>
            <w:r>
              <w:rPr>
                <w:sz w:val="20"/>
              </w:rPr>
              <w:t>$1,99 M</w:t>
            </w:r>
          </w:p>
        </w:tc>
        <w:tc>
          <w:tcPr>
            <w:tcW w:type="dxa" w:w="2160"/>
          </w:tcPr>
          <w:p>
            <w:r/>
            <w:r>
              <w:rPr>
                <w:sz w:val="20"/>
              </w:rPr>
              <w:t>no</w:t>
            </w:r>
          </w:p>
        </w:tc>
      </w:tr>
      <w:tr>
        <w:tc>
          <w:tcPr>
            <w:tcW w:type="dxa" w:w="2160"/>
          </w:tcPr>
          <w:p>
            <w:r/>
            <w:r>
              <w:rPr>
                <w:sz w:val="20"/>
              </w:rPr>
              <w:t>Árbol de decisión (prof. 5)</w:t>
            </w:r>
          </w:p>
        </w:tc>
        <w:tc>
          <w:tcPr>
            <w:tcW w:type="dxa" w:w="2160"/>
          </w:tcPr>
          <w:p>
            <w:r/>
            <w:r>
              <w:rPr>
                <w:sz w:val="20"/>
              </w:rPr>
              <w:t>0.20</w:t>
            </w:r>
          </w:p>
        </w:tc>
        <w:tc>
          <w:tcPr>
            <w:tcW w:type="dxa" w:w="2160"/>
          </w:tcPr>
          <w:p>
            <w:r/>
            <w:r>
              <w:rPr>
                <w:sz w:val="20"/>
              </w:rPr>
              <w:t>$2,10 M</w:t>
            </w:r>
          </w:p>
        </w:tc>
        <w:tc>
          <w:tcPr>
            <w:tcW w:type="dxa" w:w="2160"/>
          </w:tcPr>
          <w:p>
            <w:r/>
            <w:r>
              <w:rPr>
                <w:sz w:val="20"/>
              </w:rPr>
              <w:t>no</w:t>
            </w:r>
          </w:p>
        </w:tc>
      </w:tr>
      <w:tr>
        <w:tc>
          <w:tcPr>
            <w:tcW w:type="dxa" w:w="2160"/>
          </w:tcPr>
          <w:p>
            <w:r/>
            <w:r>
              <w:rPr>
                <w:sz w:val="20"/>
              </w:rPr>
              <w:t>Random Forest (regularizado)</w:t>
            </w:r>
          </w:p>
        </w:tc>
        <w:tc>
          <w:tcPr>
            <w:tcW w:type="dxa" w:w="2160"/>
          </w:tcPr>
          <w:p>
            <w:r/>
            <w:r>
              <w:rPr>
                <w:sz w:val="20"/>
              </w:rPr>
              <w:t>0.27</w:t>
            </w:r>
          </w:p>
        </w:tc>
        <w:tc>
          <w:tcPr>
            <w:tcW w:type="dxa" w:w="2160"/>
          </w:tcPr>
          <w:p>
            <w:r/>
            <w:r>
              <w:rPr>
                <w:sz w:val="20"/>
              </w:rPr>
              <w:t>$2,00 M</w:t>
            </w:r>
          </w:p>
        </w:tc>
        <w:tc>
          <w:tcPr>
            <w:tcW w:type="dxa" w:w="2160"/>
          </w:tcPr>
          <w:p>
            <w:r/>
            <w:r>
              <w:rPr>
                <w:sz w:val="20"/>
              </w:rPr>
              <w:t>no</w:t>
            </w:r>
          </w:p>
        </w:tc>
      </w:tr>
    </w:tbl>
    <w:p>
      <w:r>
        <w:rPr>
          <w:b/>
          <w:i w:val="0"/>
          <w:color w:val="333333"/>
          <w:sz w:val="22"/>
        </w:rPr>
        <w:t>Por qué elegimos Random Forest</w:t>
      </w:r>
    </w:p>
    <w:p>
      <w:r>
        <w:rPr>
          <w:b w:val="0"/>
          <w:i w:val="0"/>
          <w:sz w:val="22"/>
        </w:rPr>
        <w:t>El Random Forest y la regresión polinómica empatan en test (R²≈0,27–0,28). Se eligió el Random Forest por cuatro razones: (1) captura no linealidades e interacciones sin ingeniería manual —por ejemplo, el rendimiento decreciente de la experiencia—; (2) es robusto a outliers y a la mezcla de escalas, y no requiere estandarización; (3) regularizado no presenta overfitting (train ≈ test); y (4) entrega la importancia de cada variable, aportando interpretabilidad para la lectura de negocio. Frente a los lineales (que no capturan interacciones) y al árbol único (inestable), el bosque ofrece el mejor balance entre robustez e interpretabilidad.</w:t>
      </w:r>
    </w:p>
    <w:p>
      <w:pPr>
        <w:jc w:val="center"/>
      </w:pPr>
      <w:r>
        <w:drawing>
          <wp:inline xmlns:a="http://schemas.openxmlformats.org/drawingml/2006/main" xmlns:pic="http://schemas.openxmlformats.org/drawingml/2006/picture">
            <wp:extent cx="5120640" cy="4076844"/>
            <wp:docPr id="4" name="Picture 4"/>
            <wp:cNvGraphicFramePr>
              <a:graphicFrameLocks noChangeAspect="1"/>
            </wp:cNvGraphicFramePr>
            <a:graphic>
              <a:graphicData uri="http://schemas.openxmlformats.org/drawingml/2006/picture">
                <pic:pic>
                  <pic:nvPicPr>
                    <pic:cNvPr id="0" name="modelos_importancia_features.png"/>
                    <pic:cNvPicPr/>
                  </pic:nvPicPr>
                  <pic:blipFill>
                    <a:blip r:embed="rId12"/>
                    <a:stretch>
                      <a:fillRect/>
                    </a:stretch>
                  </pic:blipFill>
                  <pic:spPr>
                    <a:xfrm>
                      <a:off x="0" y="0"/>
                      <a:ext cx="5120640" cy="4076844"/>
                    </a:xfrm>
                    <a:prstGeom prst="rect"/>
                  </pic:spPr>
                </pic:pic>
              </a:graphicData>
            </a:graphic>
          </wp:inline>
        </w:drawing>
      </w:r>
    </w:p>
    <w:p>
      <w:pPr>
        <w:jc w:val="center"/>
      </w:pPr>
      <w:r>
        <w:rPr>
          <w:b w:val="0"/>
          <w:i/>
          <w:sz w:val="18"/>
        </w:rPr>
        <w:t>Figura 3. Importancia de variables (Random Forest).</w:t>
      </w:r>
    </w:p>
    <w:p>
      <w:r>
        <w:rPr>
          <w:b w:val="0"/>
          <w:i w:val="0"/>
          <w:sz w:val="22"/>
        </w:rPr>
        <w:t>Las variables más predictivas son la experiencia, la edad, el rol de liderazgo, la provincia (CABA) y el tamaño de empresa. El techo de ~0,27 es esperable y honesto: cerca de dos tercios de la variación dependen de factores no encuestados (empresa puntual, negociación). La validación temporal (R²≈0,27) es muy cercana a la aleatoria (R²≈0,29): el modelo generaliza bien al presente.</w:t>
      </w:r>
    </w:p>
    <w:p>
      <w:pPr>
        <w:pStyle w:val="Heading1"/>
      </w:pPr>
      <w:r>
        <w:rPr>
          <w:color w:val="0A0A0A"/>
        </w:rPr>
        <w:t>9. Segmentación — K-Means</w:t>
      </w:r>
    </w:p>
    <w:p>
      <w:r>
        <w:rPr>
          <w:b w:val="0"/>
          <w:i w:val="0"/>
          <w:sz w:val="22"/>
        </w:rPr>
        <w:t>Con K-Means se agruparon los perfiles sin usar el salario, y luego se observó cuánto gana cada grupo. El número de segmentos (k=4) se eligió con el método del codo y la silueta. Para visualizarlos se aplicó PCA: el Componente 1 (48% de la variación) representa los años de carrera (junior→senior) y el Componente 2 (15%) la antigüedad/rotación en la empresa.</w:t>
      </w:r>
    </w:p>
    <w:p>
      <w:pPr>
        <w:jc w:val="center"/>
      </w:pPr>
      <w:r>
        <w:drawing>
          <wp:inline xmlns:a="http://schemas.openxmlformats.org/drawingml/2006/main" xmlns:pic="http://schemas.openxmlformats.org/drawingml/2006/picture">
            <wp:extent cx="5760720" cy="2164931"/>
            <wp:docPr id="5" name="Picture 5"/>
            <wp:cNvGraphicFramePr>
              <a:graphicFrameLocks noChangeAspect="1"/>
            </wp:cNvGraphicFramePr>
            <a:graphic>
              <a:graphicData uri="http://schemas.openxmlformats.org/drawingml/2006/picture">
                <pic:pic>
                  <pic:nvPicPr>
                    <pic:cNvPr id="0" name="clusters_bn.png"/>
                    <pic:cNvPicPr/>
                  </pic:nvPicPr>
                  <pic:blipFill>
                    <a:blip r:embed="rId13"/>
                    <a:stretch>
                      <a:fillRect/>
                    </a:stretch>
                  </pic:blipFill>
                  <pic:spPr>
                    <a:xfrm>
                      <a:off x="0" y="0"/>
                      <a:ext cx="5760720" cy="2164931"/>
                    </a:xfrm>
                    <a:prstGeom prst="rect"/>
                  </pic:spPr>
                </pic:pic>
              </a:graphicData>
            </a:graphic>
          </wp:inline>
        </w:drawing>
      </w:r>
    </w:p>
    <w:p>
      <w:pPr>
        <w:jc w:val="center"/>
      </w:pPr>
      <w:r>
        <w:rPr>
          <w:b w:val="0"/>
          <w:i/>
          <w:sz w:val="18"/>
        </w:rPr>
        <w:t>Figura 4. Mapa de segmentos (PCA) y salario por arquetipo.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Segmento</w:t>
            </w:r>
          </w:p>
        </w:tc>
        <w:tc>
          <w:tcPr>
            <w:tcW w:type="dxa" w:w="2160"/>
          </w:tcPr>
          <w:p>
            <w:r/>
            <w:r>
              <w:rPr>
                <w:b/>
                <w:sz w:val="20"/>
              </w:rPr>
              <w:t>%</w:t>
            </w:r>
          </w:p>
        </w:tc>
        <w:tc>
          <w:tcPr>
            <w:tcW w:type="dxa" w:w="2160"/>
          </w:tcPr>
          <w:p>
            <w:r/>
            <w:r>
              <w:rPr>
                <w:b/>
                <w:sz w:val="20"/>
              </w:rPr>
              <w:t>Perfil</w:t>
            </w:r>
          </w:p>
        </w:tc>
        <w:tc>
          <w:tcPr>
            <w:tcW w:type="dxa" w:w="2160"/>
          </w:tcPr>
          <w:p>
            <w:r/>
            <w:r>
              <w:rPr>
                <w:b/>
                <w:sz w:val="20"/>
              </w:rPr>
              <w:t>Salario mediano</w:t>
            </w:r>
          </w:p>
        </w:tc>
      </w:tr>
      <w:tr>
        <w:tc>
          <w:tcPr>
            <w:tcW w:type="dxa" w:w="2160"/>
          </w:tcPr>
          <w:p>
            <w:r/>
            <w:r>
              <w:rPr>
                <w:sz w:val="20"/>
              </w:rPr>
              <w:t>Junior remoto</w:t>
            </w:r>
          </w:p>
        </w:tc>
        <w:tc>
          <w:tcPr>
            <w:tcW w:type="dxa" w:w="2160"/>
          </w:tcPr>
          <w:p>
            <w:r/>
            <w:r>
              <w:rPr>
                <w:sz w:val="20"/>
              </w:rPr>
              <w:t>49%</w:t>
            </w:r>
          </w:p>
        </w:tc>
        <w:tc>
          <w:tcPr>
            <w:tcW w:type="dxa" w:w="2160"/>
          </w:tcPr>
          <w:p>
            <w:r/>
            <w:r>
              <w:rPr>
                <w:sz w:val="20"/>
              </w:rPr>
              <w:t>28–29 años, 3 exp, remoto, en pesos</w:t>
            </w:r>
          </w:p>
        </w:tc>
        <w:tc>
          <w:tcPr>
            <w:tcW w:type="dxa" w:w="2160"/>
          </w:tcPr>
          <w:p>
            <w:r/>
            <w:r>
              <w:rPr>
                <w:sz w:val="20"/>
              </w:rPr>
              <w:t>$2,75 M</w:t>
            </w:r>
          </w:p>
        </w:tc>
      </w:tr>
      <w:tr>
        <w:tc>
          <w:tcPr>
            <w:tcW w:type="dxa" w:w="2160"/>
          </w:tcPr>
          <w:p>
            <w:r/>
            <w:r>
              <w:rPr>
                <w:sz w:val="20"/>
              </w:rPr>
              <w:t>Semi-senior dolarizado</w:t>
            </w:r>
          </w:p>
        </w:tc>
        <w:tc>
          <w:tcPr>
            <w:tcW w:type="dxa" w:w="2160"/>
          </w:tcPr>
          <w:p>
            <w:r/>
            <w:r>
              <w:rPr>
                <w:sz w:val="20"/>
              </w:rPr>
              <w:t>21%</w:t>
            </w:r>
          </w:p>
        </w:tc>
        <w:tc>
          <w:tcPr>
            <w:tcW w:type="dxa" w:w="2160"/>
          </w:tcPr>
          <w:p>
            <w:r/>
            <w:r>
              <w:rPr>
                <w:sz w:val="20"/>
              </w:rPr>
              <w:t>31 años, 5 exp, 100% en USD</w:t>
            </w:r>
          </w:p>
        </w:tc>
        <w:tc>
          <w:tcPr>
            <w:tcW w:type="dxa" w:w="2160"/>
          </w:tcPr>
          <w:p>
            <w:r/>
            <w:r>
              <w:rPr>
                <w:sz w:val="20"/>
              </w:rPr>
              <w:t>$2,81 M</w:t>
            </w:r>
          </w:p>
        </w:tc>
      </w:tr>
      <w:tr>
        <w:tc>
          <w:tcPr>
            <w:tcW w:type="dxa" w:w="2160"/>
          </w:tcPr>
          <w:p>
            <w:r/>
            <w:r>
              <w:rPr>
                <w:sz w:val="20"/>
              </w:rPr>
              <w:t>Senior remoto</w:t>
            </w:r>
          </w:p>
        </w:tc>
        <w:tc>
          <w:tcPr>
            <w:tcW w:type="dxa" w:w="2160"/>
          </w:tcPr>
          <w:p>
            <w:r/>
            <w:r>
              <w:rPr>
                <w:sz w:val="20"/>
              </w:rPr>
              <w:t>21%</w:t>
            </w:r>
          </w:p>
        </w:tc>
        <w:tc>
          <w:tcPr>
            <w:tcW w:type="dxa" w:w="2160"/>
          </w:tcPr>
          <w:p>
            <w:r/>
            <w:r>
              <w:rPr>
                <w:sz w:val="20"/>
              </w:rPr>
              <w:t>~40 años, 15 exp, remoto</w:t>
            </w:r>
          </w:p>
        </w:tc>
        <w:tc>
          <w:tcPr>
            <w:tcW w:type="dxa" w:w="2160"/>
          </w:tcPr>
          <w:p>
            <w:r/>
            <w:r>
              <w:rPr>
                <w:sz w:val="20"/>
              </w:rPr>
              <w:t>$4,43 M</w:t>
            </w:r>
          </w:p>
        </w:tc>
      </w:tr>
      <w:tr>
        <w:tc>
          <w:tcPr>
            <w:tcW w:type="dxa" w:w="2160"/>
          </w:tcPr>
          <w:p>
            <w:r/>
            <w:r>
              <w:rPr>
                <w:sz w:val="20"/>
              </w:rPr>
              <w:t>Senior +15 corporativo estable</w:t>
            </w:r>
          </w:p>
        </w:tc>
        <w:tc>
          <w:tcPr>
            <w:tcW w:type="dxa" w:w="2160"/>
          </w:tcPr>
          <w:p>
            <w:r/>
            <w:r>
              <w:rPr>
                <w:sz w:val="20"/>
              </w:rPr>
              <w:t>9%</w:t>
            </w:r>
          </w:p>
        </w:tc>
        <w:tc>
          <w:tcPr>
            <w:tcW w:type="dxa" w:w="2160"/>
          </w:tcPr>
          <w:p>
            <w:r/>
            <w:r>
              <w:rPr>
                <w:sz w:val="20"/>
              </w:rPr>
              <w:t>45 años, 18 exp, 14 años en la empresa</w:t>
            </w:r>
          </w:p>
        </w:tc>
        <w:tc>
          <w:tcPr>
            <w:tcW w:type="dxa" w:w="2160"/>
          </w:tcPr>
          <w:p>
            <w:r/>
            <w:r>
              <w:rPr>
                <w:sz w:val="20"/>
              </w:rPr>
              <w:t>$4,01 M</w:t>
            </w:r>
          </w:p>
        </w:tc>
      </w:tr>
    </w:tbl>
    <w:p>
      <w:r>
        <w:rPr>
          <w:b/>
          <w:i w:val="0"/>
          <w:color w:val="333333"/>
          <w:sz w:val="22"/>
        </w:rPr>
        <w:t>Nota para la defensa — por qué los grupos se ven solapados en el gráfico:</w:t>
      </w:r>
    </w:p>
    <w:p>
      <w:r>
        <w:rPr>
          <w:b w:val="0"/>
          <w:i w:val="0"/>
          <w:sz w:val="22"/>
        </w:rPr>
        <w:t>K-Means asigna cada punto a su centroide más cercano en el espacio completo (lo verificamos: el 100% de los casos). En el scatter se ven solapados porque es una proyección 2D (PCA) que muestra sólo el 62% de la información —pierde el 38% que separa a los grupos— y porque los perfiles forman un continuo sin fronteras naturales (la transición junior→senior es gradual). No es un error del modelo: en las dimensiones reales los segmentos tienen perfiles nítidamente distintos (ver la tabla de medias por segmento).</w:t>
      </w:r>
    </w:p>
    <w:p>
      <w:pPr>
        <w:pStyle w:val="Heading1"/>
      </w:pPr>
      <w:r>
        <w:rPr>
          <w:color w:val="0A0A0A"/>
        </w:rPr>
        <w:t>10. Resultados y storytelling</w:t>
      </w:r>
    </w:p>
    <w:p>
      <w:r>
        <w:rPr>
          <w:b/>
          <w:i w:val="0"/>
          <w:sz w:val="22"/>
        </w:rPr>
        <w:t>Validación de las hipótesis: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w:t>
            </w:r>
          </w:p>
        </w:tc>
        <w:tc>
          <w:tcPr>
            <w:tcW w:type="dxa" w:w="2880"/>
          </w:tcPr>
          <w:p>
            <w:r/>
            <w:r>
              <w:rPr>
                <w:b/>
                <w:sz w:val="20"/>
              </w:rPr>
              <w:t>Resultado</w:t>
            </w:r>
          </w:p>
        </w:tc>
        <w:tc>
          <w:tcPr>
            <w:tcW w:type="dxa" w:w="2880"/>
          </w:tcPr>
          <w:p>
            <w:r/>
            <w:r>
              <w:rPr>
                <w:b/>
                <w:sz w:val="20"/>
              </w:rPr>
              <w:t>Evidencia</w:t>
            </w:r>
          </w:p>
        </w:tc>
      </w:tr>
      <w:tr>
        <w:tc>
          <w:tcPr>
            <w:tcW w:type="dxa" w:w="2880"/>
          </w:tcPr>
          <w:p>
            <w:r/>
            <w:r>
              <w:rPr>
                <w:sz w:val="20"/>
              </w:rPr>
              <w:t>H1</w:t>
            </w:r>
          </w:p>
        </w:tc>
        <w:tc>
          <w:tcPr>
            <w:tcW w:type="dxa" w:w="2880"/>
          </w:tcPr>
          <w:p>
            <w:r/>
            <w:r>
              <w:rPr>
                <w:sz w:val="20"/>
              </w:rPr>
              <w:t>Confirmada</w:t>
            </w:r>
          </w:p>
        </w:tc>
        <w:tc>
          <w:tcPr>
            <w:tcW w:type="dxa" w:w="2880"/>
          </w:tcPr>
          <w:p>
            <w:r/>
            <w:r>
              <w:rPr>
                <w:sz w:val="20"/>
              </w:rPr>
              <w:t>Distribuciones casi sin solape; el predictor más fuerte.</w:t>
            </w:r>
          </w:p>
        </w:tc>
      </w:tr>
      <w:tr>
        <w:tc>
          <w:tcPr>
            <w:tcW w:type="dxa" w:w="2880"/>
          </w:tcPr>
          <w:p>
            <w:r/>
            <w:r>
              <w:rPr>
                <w:sz w:val="20"/>
              </w:rPr>
              <w:t>H2</w:t>
            </w:r>
          </w:p>
        </w:tc>
        <w:tc>
          <w:tcPr>
            <w:tcW w:type="dxa" w:w="2880"/>
          </w:tcPr>
          <w:p>
            <w:r/>
            <w:r>
              <w:rPr>
                <w:sz w:val="20"/>
              </w:rPr>
              <w:t>Confirmada</w:t>
            </w:r>
          </w:p>
        </w:tc>
        <w:tc>
          <w:tcPr>
            <w:tcW w:type="dxa" w:w="2880"/>
          </w:tcPr>
          <w:p>
            <w:r/>
            <w:r>
              <w:rPr>
                <w:sz w:val="20"/>
              </w:rPr>
              <w:t>0→3 años: +85%; 10→13 años: +3% (plateau).</w:t>
            </w:r>
          </w:p>
        </w:tc>
      </w:tr>
      <w:tr>
        <w:tc>
          <w:tcPr>
            <w:tcW w:type="dxa" w:w="2880"/>
          </w:tcPr>
          <w:p>
            <w:r/>
            <w:r>
              <w:rPr>
                <w:sz w:val="20"/>
              </w:rPr>
              <w:t>H3</w:t>
            </w:r>
          </w:p>
        </w:tc>
        <w:tc>
          <w:tcPr>
            <w:tcW w:type="dxa" w:w="2880"/>
          </w:tcPr>
          <w:p>
            <w:r/>
            <w:r>
              <w:rPr>
                <w:sz w:val="20"/>
              </w:rPr>
              <w:t>Parcial</w:t>
            </w:r>
          </w:p>
        </w:tc>
        <w:tc>
          <w:tcPr>
            <w:tcW w:type="dxa" w:w="2880"/>
          </w:tcPr>
          <w:p>
            <w:r/>
            <w:r>
              <w:rPr>
                <w:sz w:val="20"/>
              </w:rPr>
              <w:t>Premium real, pero liderado por Go/Rust, no sólo Python.</w:t>
            </w:r>
          </w:p>
        </w:tc>
      </w:tr>
      <w:tr>
        <w:tc>
          <w:tcPr>
            <w:tcW w:type="dxa" w:w="2880"/>
          </w:tcPr>
          <w:p>
            <w:r/>
            <w:r>
              <w:rPr>
                <w:sz w:val="20"/>
              </w:rPr>
              <w:t>H4</w:t>
            </w:r>
          </w:p>
        </w:tc>
        <w:tc>
          <w:tcPr>
            <w:tcW w:type="dxa" w:w="2880"/>
          </w:tcPr>
          <w:p>
            <w:r/>
            <w:r>
              <w:rPr>
                <w:sz w:val="20"/>
              </w:rPr>
              <w:t>Confirmada</w:t>
            </w:r>
          </w:p>
        </w:tc>
        <w:tc>
          <w:tcPr>
            <w:tcW w:type="dxa" w:w="2880"/>
          </w:tcPr>
          <w:p>
            <w:r/>
            <w:r>
              <w:rPr>
                <w:sz w:val="20"/>
              </w:rPr>
              <w:t>CABA +24% vs interior; remoto +43% en USD.</w:t>
            </w:r>
          </w:p>
        </w:tc>
      </w:tr>
      <w:tr>
        <w:tc>
          <w:tcPr>
            <w:tcW w:type="dxa" w:w="2880"/>
          </w:tcPr>
          <w:p>
            <w:r/>
            <w:r>
              <w:rPr>
                <w:sz w:val="20"/>
              </w:rPr>
              <w:t>H5</w:t>
            </w:r>
          </w:p>
        </w:tc>
        <w:tc>
          <w:tcPr>
            <w:tcW w:type="dxa" w:w="2880"/>
          </w:tcPr>
          <w:p>
            <w:r/>
            <w:r>
              <w:rPr>
                <w:sz w:val="20"/>
              </w:rPr>
              <w:t>Refutada</w:t>
            </w:r>
          </w:p>
        </w:tc>
        <w:tc>
          <w:tcPr>
            <w:tcW w:type="dxa" w:w="2880"/>
          </w:tcPr>
          <w:p>
            <w:r/>
            <w:r>
              <w:rPr>
                <w:sz w:val="20"/>
              </w:rPr>
              <w:t>Los dolarizados tuvieron MÁS volatilidad real (CV 0,23 vs 0,14).</w:t>
            </w:r>
          </w:p>
        </w:tc>
      </w:tr>
      <w:tr>
        <w:tc>
          <w:tcPr>
            <w:tcW w:type="dxa" w:w="2880"/>
          </w:tcPr>
          <w:p>
            <w:r/>
            <w:r>
              <w:rPr>
                <w:sz w:val="20"/>
              </w:rPr>
              <w:t>H6</w:t>
            </w:r>
          </w:p>
        </w:tc>
        <w:tc>
          <w:tcPr>
            <w:tcW w:type="dxa" w:w="2880"/>
          </w:tcPr>
          <w:p>
            <w:r/>
            <w:r>
              <w:rPr>
                <w:sz w:val="20"/>
              </w:rPr>
              <w:t>Indicio</w:t>
            </w:r>
          </w:p>
        </w:tc>
        <w:tc>
          <w:tcPr>
            <w:tcW w:type="dxa" w:w="2880"/>
          </w:tcPr>
          <w:p>
            <w:r/>
            <w:r>
              <w:rPr>
                <w:sz w:val="20"/>
              </w:rPr>
              <w:t>Correlación 0,70 pero no significativa (n=6).</w:t>
            </w:r>
          </w:p>
        </w:tc>
      </w:tr>
    </w:tbl>
    <w:p>
      <w:r>
        <w:rPr>
          <w:b/>
          <w:i w:val="0"/>
          <w:color w:val="333333"/>
          <w:sz w:val="22"/>
        </w:rPr>
        <w:t>Brechas salariales y comparativa regional</w:t>
      </w:r>
    </w:p>
    <w:p>
      <w:pPr>
        <w:jc w:val="center"/>
      </w:pPr>
      <w:r>
        <w:drawing>
          <wp:inline xmlns:a="http://schemas.openxmlformats.org/drawingml/2006/main" xmlns:pic="http://schemas.openxmlformats.org/drawingml/2006/picture">
            <wp:extent cx="5486400" cy="3965770"/>
            <wp:docPr id="6" name="Picture 6"/>
            <wp:cNvGraphicFramePr>
              <a:graphicFrameLocks noChangeAspect="1"/>
            </wp:cNvGraphicFramePr>
            <a:graphic>
              <a:graphicData uri="http://schemas.openxmlformats.org/drawingml/2006/picture">
                <pic:pic>
                  <pic:nvPicPr>
                    <pic:cNvPr id="0" name="eda_05_geografia.png"/>
                    <pic:cNvPicPr/>
                  </pic:nvPicPr>
                  <pic:blipFill>
                    <a:blip r:embed="rId14"/>
                    <a:stretch>
                      <a:fillRect/>
                    </a:stretch>
                  </pic:blipFill>
                  <pic:spPr>
                    <a:xfrm>
                      <a:off x="0" y="0"/>
                      <a:ext cx="5486400" cy="3965770"/>
                    </a:xfrm>
                    <a:prstGeom prst="rect"/>
                  </pic:spPr>
                </pic:pic>
              </a:graphicData>
            </a:graphic>
          </wp:inline>
        </w:drawing>
      </w:r>
    </w:p>
    <w:p>
      <w:pPr>
        <w:jc w:val="center"/>
      </w:pPr>
      <w:r>
        <w:rPr>
          <w:b w:val="0"/>
          <w:i/>
          <w:sz w:val="18"/>
        </w:rPr>
        <w:t>Figura 5. Salario real mediano por provincia.</w:t>
      </w:r>
    </w:p>
    <w:p>
      <w:r>
        <w:rPr>
          <w:b w:val="0"/>
          <w:i w:val="0"/>
          <w:sz w:val="22"/>
        </w:rPr>
        <w:t>La brecha junior → senior es de casi 3× y la de liderazgo es la mayor entre roles (+0,19 en log-salario). En lo regional, CABA paga un 24% más que el interior, la Patagonia destaca por el polo energético, y las grandes empresas y el stack backend concentran el premium. Contra la creencia general, cobrar en dólares no dio un poder de compra más estable: los dolarizados mostraron más volatilidad real que los pesificados —el dólar fue escudo en 2022–2023 y lastre en 2024–2026— (H5 refutada).</w:t>
      </w:r>
    </w:p>
    <w:p>
      <w:r>
        <w:rPr>
          <w:b/>
          <w:i w:val="0"/>
          <w:color w:val="333333"/>
          <w:sz w:val="22"/>
        </w:rPr>
        <w:t>Comparativa internacional (Stack Overflow)</w:t>
      </w:r>
    </w:p>
    <w:p>
      <w:pPr>
        <w:jc w:val="center"/>
      </w:pPr>
      <w:r>
        <w:drawing>
          <wp:inline xmlns:a="http://schemas.openxmlformats.org/drawingml/2006/main" xmlns:pic="http://schemas.openxmlformats.org/drawingml/2006/picture">
            <wp:extent cx="5486400" cy="2654791"/>
            <wp:docPr id="7" name="Picture 7"/>
            <wp:cNvGraphicFramePr>
              <a:graphicFrameLocks noChangeAspect="1"/>
            </wp:cNvGraphicFramePr>
            <a:graphic>
              <a:graphicData uri="http://schemas.openxmlformats.org/drawingml/2006/picture">
                <pic:pic>
                  <pic:nvPicPr>
                    <pic:cNvPr id="0" name="comparacion_mundo.png"/>
                    <pic:cNvPicPr/>
                  </pic:nvPicPr>
                  <pic:blipFill>
                    <a:blip r:embed="rId15"/>
                    <a:stretch>
                      <a:fillRect/>
                    </a:stretch>
                  </pic:blipFill>
                  <pic:spPr>
                    <a:xfrm>
                      <a:off x="0" y="0"/>
                      <a:ext cx="5486400" cy="2654791"/>
                    </a:xfrm>
                    <a:prstGeom prst="rect"/>
                  </pic:spPr>
                </pic:pic>
              </a:graphicData>
            </a:graphic>
          </wp:inline>
        </w:drawing>
      </w:r>
    </w:p>
    <w:p>
      <w:pPr>
        <w:jc w:val="center"/>
      </w:pPr>
      <w:r>
        <w:rPr>
          <w:b w:val="0"/>
          <w:i/>
          <w:sz w:val="18"/>
        </w:rPr>
        <w:t>Figura 6. Salario mediano de developers por país (USD/mes).</w:t>
      </w:r>
    </w:p>
    <w:p>
      <w:r>
        <w:rPr>
          <w:b w:val="0"/>
          <w:i w:val="0"/>
          <w:sz w:val="22"/>
        </w:rPr>
        <w:t>Según la encuesta global de Stack Overflow, el developer argentino gana una mediana de USD 3.333 mensuales: por encima de Brasil, Ucrania e India, pero muy por debajo de Europa y de EE.UU. (USD 12.500). La medición de Sysarmy es más conservadora (USD 2.264) porque Stack Overflow capta perfiles más internacionales y senior. Replicar el modelo predictivo a nivel internacional es una línea de trabajo futura: exigiría rehacer el feature engineering, incorporar el país como variable dominante y ajustar por poder adquisitivo entre países.</w:t>
      </w:r>
    </w:p>
    <w:p>
      <w:pPr>
        <w:pStyle w:val="Heading1"/>
      </w:pPr>
      <w:r>
        <w:rPr>
          <w:color w:val="0A0A0A"/>
        </w:rPr>
        <w:t>11. La herramienta (aplicación web)</w:t>
      </w:r>
    </w:p>
    <w:p>
      <w:r>
        <w:rPr>
          <w:b w:val="0"/>
          <w:i w:val="0"/>
          <w:sz w:val="22"/>
        </w:rPr>
        <w:t>Los resultados se entregan en una app Streamlit con tres secciones: un estimador de salario (Random Forest), un EDA navegable y la segmentación de mercado. Dos versiones:</w:t>
      </w:r>
    </w:p>
    <w:p>
      <w:pPr>
        <w:pStyle w:val="ListBullet"/>
      </w:pPr>
      <w:r>
        <w:t>Español / pesos reales — streamlit run app/main.py</w:t>
      </w:r>
    </w:p>
    <w:p>
      <w:pPr>
        <w:pStyle w:val="ListBullet"/>
      </w:pPr>
      <w:r>
        <w:t>Inglés / dólares reales — streamlit run app_en/main.py</w:t>
      </w:r>
    </w:p>
    <w:p>
      <w:pPr>
        <w:pStyle w:val="Heading1"/>
      </w:pPr>
      <w:r>
        <w:rPr>
          <w:color w:val="0A0A0A"/>
        </w:rPr>
        <w:t>12. Conclusiones</w:t>
      </w:r>
    </w:p>
    <w:p>
      <w:r>
        <w:rPr>
          <w:b/>
          <w:i w:val="0"/>
          <w:sz w:val="22"/>
        </w:rPr>
        <w:t>Principales hallazgos:</w:t>
      </w:r>
    </w:p>
    <w:p>
      <w:pPr>
        <w:pStyle w:val="ListBullet"/>
      </w:pPr>
      <w:r>
        <w:t>El perfil explica ~27% del sueldo; experiencia y rol de liderazgo son lo decisivo.</w:t>
      </w:r>
    </w:p>
    <w:p>
      <w:pPr>
        <w:pStyle w:val="ListBullet"/>
      </w:pPr>
      <w:r>
        <w:t>Dolarizarse no garantizó ni mayor premium ni mayor estabilidad.</w:t>
      </w:r>
    </w:p>
    <w:p>
      <w:pPr>
        <w:pStyle w:val="ListBullet"/>
      </w:pPr>
      <w:r>
        <w:t>CABA, las grandes empresas y el stack backend concentran los mejores sueldos.</w:t>
      </w:r>
    </w:p>
    <w:p>
      <w:r>
        <w:rPr>
          <w:b/>
          <w:i w:val="0"/>
          <w:sz w:val="22"/>
        </w:rPr>
        <w:t>Valor estratégico para la gerencia:</w:t>
      </w:r>
    </w:p>
    <w:p>
      <w:pPr>
        <w:pStyle w:val="ListBullet"/>
      </w:pPr>
      <w:r>
        <w:t>Benchmarking salarial objetivo y segmentado por arquetipo.</w:t>
      </w:r>
    </w:p>
    <w:p>
      <w:pPr>
        <w:pStyle w:val="ListBullet"/>
      </w:pPr>
      <w:r>
        <w:t>Lectura del costo del talento frente al contexto macroeconómico.</w:t>
      </w:r>
    </w:p>
    <w:p>
      <w:pPr>
        <w:pStyle w:val="ListBullet"/>
      </w:pPr>
      <w:r>
        <w:t>Decisiones de oferta y retención basadas en datos, con una herramienta reutilizable.</w:t>
      </w:r>
    </w:p>
    <w:p>
      <w:r>
        <w:br w:type="page"/>
      </w:r>
    </w:p>
    <w:p>
      <w:pPr>
        <w:pStyle w:val="Heading1"/>
      </w:pPr>
      <w:r>
        <w:rPr>
          <w:color w:val="0A0A0A"/>
        </w:rPr>
        <w:t>Anexo — Guion de defensa oral</w:t>
      </w:r>
    </w:p>
    <w:p>
      <w:pPr>
        <w:pStyle w:val="ListNumber"/>
      </w:pPr>
      <w:r>
        <w:rPr>
          <w:b/>
        </w:rPr>
        <w:t xml:space="preserve">Portada: </w:t>
      </w:r>
      <w:r>
        <w:t>Presentarse y enunciar el tema.</w:t>
      </w:r>
    </w:p>
    <w:p>
      <w:pPr>
        <w:pStyle w:val="ListNumber"/>
      </w:pPr>
      <w:r>
        <w:rPr>
          <w:b/>
        </w:rPr>
        <w:t xml:space="preserve">Equipo y estrategia: </w:t>
      </w:r>
      <w:r>
        <w:t>Roles del grupo y metodología (CRISP-DM).</w:t>
      </w:r>
    </w:p>
    <w:p>
      <w:pPr>
        <w:pStyle w:val="ListNumber"/>
      </w:pPr>
      <w:r>
        <w:rPr>
          <w:b/>
        </w:rPr>
        <w:t xml:space="preserve">Dominio: </w:t>
      </w:r>
      <w:r>
        <w:t>El problema: info fragmentada y no comparable. Hipótesis central.</w:t>
      </w:r>
    </w:p>
    <w:p>
      <w:pPr>
        <w:pStyle w:val="ListNumber"/>
      </w:pPr>
      <w:r>
        <w:rPr>
          <w:b/>
        </w:rPr>
        <w:t xml:space="preserve">Hipótesis: </w:t>
      </w:r>
      <w:r>
        <w:t>Enunciar H1–H6.</w:t>
      </w:r>
    </w:p>
    <w:p>
      <w:pPr>
        <w:pStyle w:val="ListNumber"/>
      </w:pPr>
      <w:r>
        <w:rPr>
          <w:b/>
        </w:rPr>
        <w:t xml:space="preserve">Propuesta y valor: </w:t>
      </w:r>
      <w:r>
        <w:t>Qué construimos y para qué le sirve a la gerencia.</w:t>
      </w:r>
    </w:p>
    <w:p>
      <w:pPr>
        <w:pStyle w:val="ListNumber"/>
      </w:pPr>
      <w:r>
        <w:rPr>
          <w:b/>
        </w:rPr>
        <w:t xml:space="preserve">Fuentes: </w:t>
      </w:r>
      <w:r>
        <w:t>Las 9 fuentes integradas.</w:t>
      </w:r>
    </w:p>
    <w:p>
      <w:pPr>
        <w:pStyle w:val="ListNumber"/>
      </w:pPr>
      <w:r>
        <w:rPr>
          <w:b/>
        </w:rPr>
        <w:t xml:space="preserve">Pipeline: </w:t>
      </w:r>
      <w:r>
        <w:t>El flujo de 4 pasos.</w:t>
      </w:r>
    </w:p>
    <w:p>
      <w:pPr>
        <w:pStyle w:val="ListNumber"/>
      </w:pPr>
      <w:r>
        <w:rPr>
          <w:b/>
        </w:rPr>
        <w:t xml:space="preserve">Limpieza: </w:t>
      </w:r>
      <w:r>
        <w:t>Foco: armonización, faltantes, moneda nativa, outliers.</w:t>
      </w:r>
    </w:p>
    <w:p>
      <w:pPr>
        <w:pStyle w:val="ListNumber"/>
      </w:pPr>
      <w:r>
        <w:rPr>
          <w:b/>
        </w:rPr>
        <w:t xml:space="preserve">Feature engineering: </w:t>
      </w:r>
      <w:r>
        <w:t>Foco: agrupaciones, target real, anti-leakage, techs excluidas.</w:t>
      </w:r>
    </w:p>
    <w:p>
      <w:pPr>
        <w:pStyle w:val="ListNumber"/>
      </w:pPr>
      <w:r>
        <w:rPr>
          <w:b/>
        </w:rPr>
        <w:t xml:space="preserve">EDA distribución: </w:t>
      </w:r>
      <w:r>
        <w:t>Trabajamos en moneda real; mediana $3,19M / USD 2.264.</w:t>
      </w:r>
    </w:p>
    <w:p>
      <w:pPr>
        <w:pStyle w:val="ListNumber"/>
      </w:pPr>
      <w:r>
        <w:rPr>
          <w:b/>
        </w:rPr>
        <w:t xml:space="preserve">EDA seniority/geo: </w:t>
      </w:r>
      <w:r>
        <w:t>H1 y H4.</w:t>
      </w:r>
    </w:p>
    <w:p>
      <w:pPr>
        <w:pStyle w:val="ListNumber"/>
      </w:pPr>
      <w:r>
        <w:rPr>
          <w:b/>
        </w:rPr>
        <w:t xml:space="preserve">EDA tecnologías: </w:t>
      </w:r>
      <w:r>
        <w:t>H3: premium por stack.</w:t>
      </w:r>
    </w:p>
    <w:p>
      <w:pPr>
        <w:pStyle w:val="ListNumber"/>
      </w:pPr>
      <w:r>
        <w:rPr>
          <w:b/>
        </w:rPr>
        <w:t xml:space="preserve">Dispersión / ejes: </w:t>
      </w:r>
      <w:r>
        <w:t>K-Means y la lectura del PCA; 4 arquetipos.</w:t>
      </w:r>
    </w:p>
    <w:p>
      <w:pPr>
        <w:pStyle w:val="ListNumber"/>
      </w:pPr>
      <w:r>
        <w:rPr>
          <w:b/>
        </w:rPr>
        <w:t xml:space="preserve">Variable target: </w:t>
      </w:r>
      <w:r>
        <w:t>Salario real, no nominal; dos unidades.</w:t>
      </w:r>
    </w:p>
    <w:p>
      <w:pPr>
        <w:pStyle w:val="ListNumber"/>
      </w:pPr>
      <w:r>
        <w:rPr>
          <w:b/>
        </w:rPr>
        <w:t xml:space="preserve">Comparación de modelos: </w:t>
      </w:r>
      <w:r>
        <w:t>5 técnicas; gana RF.</w:t>
      </w:r>
    </w:p>
    <w:p>
      <w:pPr>
        <w:pStyle w:val="ListNumber"/>
      </w:pPr>
      <w:r>
        <w:rPr>
          <w:b/>
        </w:rPr>
        <w:t xml:space="preserve">Por qué RF: </w:t>
      </w:r>
      <w:r>
        <w:t>Las 5 razones.</w:t>
      </w:r>
    </w:p>
    <w:p>
      <w:pPr>
        <w:pStyle w:val="ListNumber"/>
      </w:pPr>
      <w:r>
        <w:rPr>
          <w:b/>
        </w:rPr>
        <w:t xml:space="preserve">Dificultades: </w:t>
      </w:r>
      <w:r>
        <w:t>Lucirse con las decisiones metodológicas.</w:t>
      </w:r>
    </w:p>
    <w:p>
      <w:pPr>
        <w:pStyle w:val="ListNumber"/>
      </w:pPr>
      <w:r>
        <w:rPr>
          <w:b/>
        </w:rPr>
        <w:t xml:space="preserve">Resultados: </w:t>
      </w:r>
      <w:r>
        <w:t>H1–H6, brechas, regional y dolarización (H5 refutada).</w:t>
      </w:r>
    </w:p>
    <w:p>
      <w:pPr>
        <w:pStyle w:val="ListNumber"/>
      </w:pPr>
      <w:r>
        <w:rPr>
          <w:b/>
        </w:rPr>
        <w:t xml:space="preserve">Demo: </w:t>
      </w:r>
      <w:r>
        <w:t>Mostrar la app en vivo.</w:t>
      </w:r>
    </w:p>
    <w:p>
      <w:pPr>
        <w:pStyle w:val="ListNumber"/>
      </w:pPr>
      <w:r>
        <w:rPr>
          <w:b/>
        </w:rPr>
        <w:t xml:space="preserve">Conclusiones: </w:t>
      </w:r>
      <w:r>
        <w:t>Hallazgos y valor estratégico.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