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A0A0A"/>
          <w:sz w:val="26"/>
        </w:rPr>
        <w:t>GUION — PARTE 3 · DATA QUALITY / FEATURE ENGINEERING</w:t>
      </w:r>
    </w:p>
    <w:p>
      <w:pPr>
        <w:spacing w:after="220"/>
        <w:jc w:val="center"/>
      </w:pPr>
      <w:r>
        <w:rPr>
          <w:b w:val="0"/>
          <w:i/>
          <w:color w:val="555555"/>
          <w:sz w:val="18"/>
        </w:rPr>
        <w:t>Slides 8 a 12  ·  ~3:30 min  ·  lo que está en cursiva y entre corchetes no se lee</w:t>
      </w:r>
    </w:p>
    <w:p>
      <w:pPr>
        <w:spacing w:after="80"/>
      </w:pPr>
      <w:r>
        <w:rPr>
          <w:b/>
          <w:i w:val="0"/>
          <w:color w:val="B88600"/>
          <w:sz w:val="23"/>
        </w:rPr>
        <w:t>SLIDE 8 — DE 6 ENCUESTAS A UN DATASET (~0:50)</w:t>
      </w:r>
    </w:p>
    <w:p>
      <w:pPr>
        <w:spacing w:after="140"/>
      </w:pPr>
      <w:r>
        <w:rPr>
          <w:b w:val="0"/>
          <w:i w:val="0"/>
          <w:sz w:val="22"/>
        </w:rPr>
        <w:t>Gracias. Recién vimos de dónde salen los datos; mi trabajo empieza cuando llegan. Y llegan crudos, desordenados y hablando seis idiomas distintos.</w:t>
      </w:r>
    </w:p>
    <w:p>
      <w:pPr>
        <w:spacing w:after="140"/>
      </w:pPr>
      <w:r>
        <w:rPr>
          <w:b w:val="0"/>
          <w:i w:val="0"/>
          <w:sz w:val="22"/>
        </w:rPr>
        <w:t>¿Seis idiomas? Sí: las seis encuestas preguntaban lo mismo, pero cada una a su manera. En 2022 la provincia venía en una columna llamada, literalmente, «donde_estas_trabajando»; en 2024, «provincia». Una edición traía 43 columnas; otra, 56. Todo esto se resuelve en un único script del repositorio —limpiar_y_unificar_datos.py— que mapea cada columna por coincidencia de tokens: reconoce las palabras clave del nombre, esté escrito como esté. El beneficio: cuando salga la encuesta 2026, el mismo script la incorpora solo.</w:t>
      </w:r>
    </w:p>
    <w:p>
      <w:pPr>
        <w:spacing w:after="140"/>
      </w:pPr>
      <w:r>
        <w:rPr>
          <w:b w:val="0"/>
          <w:i w:val="0"/>
          <w:sz w:val="22"/>
        </w:rPr>
        <w:t>Después, la calidad campo por campo. Sueldos escritos como texto, convertidos a número. Tecnologías tipeadas de cualquier manera —«postgres», «PostgreSQL»— unificadas con fuzzy matching, un algoritmo que agrupa palabras parecidas aunque estén mal escritas. Y con los faltantes, cirugía: si falta el sueldo o la provincia, la fila se descarta; si falta algo secundario, se imputa con la mediana o la moda, para no perder una fila valiosa por un casillero vacío.</w:t>
      </w:r>
    </w:p>
    <w:p>
      <w:pPr>
        <w:spacing w:after="140"/>
      </w:pPr>
      <w:r>
        <w:rPr>
          <w:b w:val="0"/>
          <w:i w:val="0"/>
          <w:sz w:val="22"/>
        </w:rPr>
        <w:t>Una decisión para destacar: los valores extremos no se borran, se marcan. Un CTO que gana cinco veces la mediana no es un error, es un dato real. Solo descartamos errores evidentes de carga: un sueldo escrito en miles, cincuenta veces arriba de la mediana.</w:t>
      </w:r>
    </w:p>
    <w:p>
      <w:pPr>
        <w:spacing w:after="80"/>
      </w:pPr>
      <w:r>
        <w:rPr>
          <w:b/>
          <w:i w:val="0"/>
          <w:color w:val="B88600"/>
          <w:sz w:val="23"/>
        </w:rPr>
        <w:t>SLIDE 9 — LA LIMPIEZA EN NÚMEROS (~0:20)</w:t>
      </w:r>
    </w:p>
    <w:p>
      <w:pPr>
        <w:spacing w:after="140"/>
      </w:pPr>
      <w:r>
        <w:rPr>
          <w:b w:val="0"/>
          <w:i w:val="0"/>
          <w:sz w:val="22"/>
        </w:rPr>
        <w:t>[pasar de slide]  Y esto no es un relato: se mide. Edición por edición, en gris lo que llegó y en negro lo que quedó. La brecha es mínima: de 32.309 filas conservamos 31.088, descartamos apenas el 3,8%. Limpiar no es recortar: es conservar datos confiables.</w:t>
      </w:r>
    </w:p>
    <w:p>
      <w:pPr>
        <w:spacing w:after="80"/>
      </w:pPr>
      <w:r>
        <w:rPr>
          <w:b/>
          <w:i w:val="0"/>
          <w:color w:val="B88600"/>
          <w:sz w:val="23"/>
        </w:rPr>
        <w:t>SLIDE 10 — FEATURE ENGINEERING (~0:50)</w:t>
      </w:r>
    </w:p>
    <w:p>
      <w:pPr>
        <w:spacing w:after="140"/>
      </w:pPr>
      <w:r>
        <w:rPr>
          <w:b w:val="0"/>
          <w:i w:val="0"/>
          <w:sz w:val="22"/>
        </w:rPr>
        <w:t>[pasar de slide]  Con los datos limpios arranca la segunda mitad: el feature engineering, convertir un formulario de encuesta en variables que el modelo aproveche. Tres decisiones claves.</w:t>
      </w:r>
    </w:p>
    <w:p>
      <w:pPr>
        <w:spacing w:after="140"/>
      </w:pPr>
      <w:r>
        <w:rPr>
          <w:b w:val="0"/>
          <w:i w:val="0"/>
          <w:sz w:val="22"/>
        </w:rPr>
        <w:t>Uno: las categóricas —provincia, modalidad, tamaño de empresa— se transforman con one-hot encoding, una columna de unos y ceros por categoría. Beneficio: el modelo no inventa un orden falso; Córdoba no es «mayor» que Mendoza.</w:t>
      </w:r>
    </w:p>
    <w:p>
      <w:pPr>
        <w:spacing w:after="140"/>
      </w:pPr>
      <w:r>
        <w:rPr>
          <w:b w:val="0"/>
          <w:i w:val="0"/>
          <w:sz w:val="22"/>
        </w:rPr>
        <w:t>Dos, la ingeniería del objetivo: no predecimos el sueldo nominal sino el real, deflactado por IPC a pesos de mayo de 2026 —y por la inflación americana si el sueldo es en dólares—. Un millón de 2022 y uno de 2025 no son la misma plata: sin este ajuste el modelo aprendería el paso del tiempo, no el perfil.</w:t>
      </w:r>
    </w:p>
    <w:p>
      <w:pPr>
        <w:spacing w:after="140"/>
      </w:pPr>
      <w:r>
        <w:rPr>
          <w:b w:val="0"/>
          <w:i w:val="0"/>
          <w:sz w:val="22"/>
        </w:rPr>
        <w:t>Tres, la selección: sacamos el seniority porque cuenta la misma historia que los años de experiencia —multicolinealidad—, y excluimos toda variable derivada del propio salario para que el modelo no haga trampa copiándose la respuesta: anti-leakage.</w:t>
      </w:r>
    </w:p>
    <w:p>
      <w:pPr>
        <w:spacing w:after="80"/>
      </w:pPr>
      <w:r>
        <w:rPr>
          <w:b/>
          <w:i w:val="0"/>
          <w:color w:val="B88600"/>
          <w:sz w:val="23"/>
        </w:rPr>
        <w:t>SLIDE 11 — EL CASO DE LOS ROLES (~0:25)</w:t>
      </w:r>
    </w:p>
    <w:p>
      <w:pPr>
        <w:spacing w:after="140"/>
      </w:pPr>
      <w:r>
        <w:rPr>
          <w:b w:val="0"/>
          <w:i w:val="0"/>
          <w:sz w:val="22"/>
        </w:rPr>
        <w:t>[pasar de slide]  Un ejemplo concreto: los roles. Aparecen 698 puestos escritos de mil maneras. Miren la curva ámbar: los 15 más frecuentes cubren el 90% de la gente; los otros 683 se reparten el 10%. Agrupación top-N: esos 15 quedan, el resto va a «Otro». Beneficio directo: en vez de cientos de columnas con tres casos cada una —puro overfitting—, dieciséis categorías con señal de verdad.</w:t>
      </w:r>
    </w:p>
    <w:p>
      <w:pPr>
        <w:spacing w:after="80"/>
      </w:pPr>
      <w:r>
        <w:rPr>
          <w:b/>
          <w:i w:val="0"/>
          <w:color w:val="B88600"/>
          <w:sz w:val="23"/>
        </w:rPr>
        <w:t>SLIDE 12 — LA PRUEBA CON LAS TECNOLOGÍAS (~0:40)</w:t>
      </w:r>
    </w:p>
    <w:p>
      <w:pPr>
        <w:spacing w:after="140"/>
      </w:pPr>
      <w:r>
        <w:rPr>
          <w:b w:val="0"/>
          <w:i w:val="0"/>
          <w:sz w:val="22"/>
        </w:rPr>
        <w:t>[pasar de slide]  Y la decisión más difícil: sacamos las tecnologías del modelo. Suena raro, porque Go o Rust pagan más. Pero ese premium no lo paga el lenguaje, lo paga el contexto: proyectos backend, empresas dolarizadas. Y como entrada generaba disparates: si a un perfil de soporte le marcábamos «Go», el estimador inflaba el sueldo hacia una combinación que no existe.</w:t>
      </w:r>
    </w:p>
    <w:p>
      <w:pPr>
        <w:spacing w:after="140"/>
      </w:pPr>
      <w:r>
        <w:rPr>
          <w:b w:val="0"/>
          <w:i w:val="0"/>
          <w:sz w:val="22"/>
        </w:rPr>
        <w:t>¿Cómo lo decidimos? Con un experimento: entrenamos las dos versiones y las comparamos. El gráfico lo dice todo: el R² casi no cambia —0,297 a 0,272— y el sobreajuste baja. Perdimos casi nada de precisión y ganamos robustez. Evidencia, no intuición.</w:t>
      </w:r>
    </w:p>
    <w:p>
      <w:pPr>
        <w:spacing w:after="0"/>
      </w:pPr>
      <w:r>
        <w:rPr>
          <w:b w:val="0"/>
          <w:i w:val="0"/>
          <w:sz w:val="22"/>
        </w:rPr>
        <w:t>En resumen: datos limpios y variables honestas; sobre esa base se apoya todo lo que viene. Qué encontramos al explorar esos datos… se los cuenta mi compañero.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