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FA8"/>
          <w:sz w:val="44"/>
        </w:rPr>
        <w:t>Texas Instruments (TXN)</w:t>
      </w:r>
    </w:p>
    <w:p>
      <w:r>
        <w:rPr>
          <w:color w:val="222222"/>
          <w:sz w:val="30"/>
        </w:rPr>
        <w:t>800V DC-Power / AI-Datacenter Content Thesis</w:t>
      </w:r>
    </w:p>
    <w:p>
      <w:r>
        <w:rPr>
          <w:i/>
          <w:color w:val="666666"/>
          <w:sz w:val="22"/>
        </w:rPr>
        <w:t>Investment Memo — Capstone Buy-Side Desk</w:t>
      </w:r>
    </w:p>
    <w:p>
      <w:pPr>
        <w:pBdr>
          <w:bottom w:val="single" w:sz="8" w:space="4" w:color="1F3FA8"/>
        </w:pBdr>
      </w:pPr>
      <w:r>
        <w:rPr>
          <w:color w:val="666666"/>
          <w:sz w:val="19"/>
        </w:rPr>
        <w:t>Prepared 2026-07-01 · Tech/Semis desk</w:t>
      </w:r>
    </w:p>
    <w:p/>
    <w:p>
      <w:pPr>
        <w:spacing w:after="120"/>
      </w:pPr>
      <w:r>
        <w:rPr>
          <w:b/>
          <w:i/>
          <w:color w:val="666666"/>
          <w:sz w:val="19"/>
        </w:rPr>
        <w:t>Investment memo draft — Capstone buy-side desk</w:t>
      </w:r>
    </w:p>
    <w:p>
      <w:pPr>
        <w:spacing w:after="120"/>
      </w:pPr>
      <w:r>
        <w:rPr>
          <w:i/>
          <w:color w:val="666666"/>
          <w:sz w:val="19"/>
        </w:rPr>
        <w:t>Prepared 2026-07-01 · analyst: tech/semis desk · status: DRAFT for Word conversion + adversarial review</w:t>
      </w:r>
    </w:p>
    <w:p>
      <w:pPr>
        <w:spacing w:after="120"/>
      </w:pPr>
      <w:r>
        <w:rPr>
          <w:i/>
          <w:color w:val="666666"/>
          <w:sz w:val="19"/>
        </w:rPr>
        <w:t xml:space="preserve">Sources: </w:t>
      </w:r>
      <w:r>
        <w:rPr>
          <w:rFonts w:ascii="Consolas" w:hAnsi="Consolas"/>
          <w:i/>
          <w:color w:val="666666"/>
          <w:sz w:val="18"/>
        </w:rPr>
        <w:t>_wiki/TXN.md</w:t>
      </w:r>
      <w:r>
        <w:rPr>
          <w:i/>
          <w:color w:val="666666"/>
          <w:sz w:val="19"/>
        </w:rPr>
        <w:t xml:space="preserve">, </w:t>
      </w:r>
      <w:r>
        <w:rPr>
          <w:rFonts w:ascii="Consolas" w:hAnsi="Consolas"/>
          <w:i/>
          <w:color w:val="666666"/>
          <w:sz w:val="18"/>
        </w:rPr>
        <w:t>_wiki/themes/800v-dc-power.md</w:t>
      </w:r>
      <w:r>
        <w:rPr>
          <w:i/>
          <w:color w:val="666666"/>
          <w:sz w:val="19"/>
        </w:rPr>
        <w:t xml:space="preserve">, TXN 10-K (2026-02-06) / 10-Q (2026-04-24), earnings transcripts, </w:t>
      </w:r>
      <w:r>
        <w:rPr>
          <w:rFonts w:ascii="Consolas" w:hAnsi="Consolas"/>
          <w:i/>
          <w:color w:val="666666"/>
          <w:sz w:val="18"/>
        </w:rPr>
        <w:t>_equity_calls</w:t>
      </w:r>
      <w:r>
        <w:rPr>
          <w:i/>
          <w:color w:val="666666"/>
          <w:sz w:val="19"/>
        </w:rPr>
        <w:t xml:space="preserve">, briefings, </w:t>
      </w:r>
      <w:r>
        <w:rPr>
          <w:rFonts w:ascii="Consolas" w:hAnsi="Consolas"/>
          <w:i/>
          <w:color w:val="666666"/>
          <w:sz w:val="18"/>
        </w:rPr>
        <w:t>_models/TXN_bottom_up_model.xlsx</w:t>
      </w:r>
      <w:r>
        <w:rPr>
          <w:i/>
          <w:color w:val="666666"/>
          <w:sz w:val="19"/>
        </w:rPr>
        <w:t>. Every datapoint carries broker/analyst + date; own assumptions tagged ESTIMATE.</w:t>
      </w:r>
    </w:p>
    <w:p>
      <w:pPr>
        <w:pStyle w:val="Heading2"/>
        <w:spacing w:before="280" w:after="120"/>
      </w:pPr>
      <w:r>
        <w:rPr>
          <w:b/>
          <w:color w:val="1F3FA8"/>
          <w:sz w:val="26"/>
        </w:rPr>
        <w:t>1. Executive Summary</w:t>
      </w:r>
    </w:p>
    <w:p>
      <w:pPr>
        <w:spacing w:after="120"/>
      </w:pPr>
      <w:r>
        <w:rPr>
          <w:b/>
          <w:color w:val="222222"/>
          <w:sz w:val="21"/>
        </w:rPr>
        <w:t>The call:</w:t>
      </w:r>
      <w:r>
        <w:rPr>
          <w:color w:val="222222"/>
          <w:sz w:val="21"/>
        </w:rPr>
        <w:t xml:space="preserve"> TXN is the highest-quality, lowest-risk way to own the 800V DC datacenter power transition, but it is </w:t>
      </w:r>
      <w:r>
        <w:rPr>
          <w:i/>
          <w:color w:val="222222"/>
          <w:sz w:val="21"/>
        </w:rPr>
        <w:t>not</w:t>
      </w:r>
      <w:r>
        <w:rPr>
          <w:color w:val="222222"/>
          <w:sz w:val="21"/>
        </w:rPr>
        <w:t xml:space="preserve"> the highest-torque way, and the incremental EPS is real but back-end-loaded (2027-2028), not a 2026 event. We frame it as an </w:t>
      </w:r>
      <w:r>
        <w:rPr>
          <w:b/>
          <w:color w:val="222222"/>
          <w:sz w:val="21"/>
        </w:rPr>
        <w:t>add-to-quality-core</w:t>
      </w:r>
      <w:r>
        <w:rPr>
          <w:color w:val="222222"/>
          <w:sz w:val="21"/>
        </w:rPr>
        <w:t xml:space="preserve"> rather than a pure-play 800V trade. The theme is a </w:t>
      </w:r>
      <w:r>
        <w:rPr>
          <w:b/>
          <w:color w:val="222222"/>
          <w:sz w:val="21"/>
        </w:rPr>
        <w:t>share-not-TAM fight</w:t>
      </w:r>
      <w:r>
        <w:rPr>
          <w:color w:val="222222"/>
          <w:sz w:val="21"/>
        </w:rPr>
        <w:t xml:space="preserve"> among TXN/ADI/ON/IFX/NXPI/MPWR, and the Street currently crowns TXN on capacity and internal high-voltage GaN [Citi/Malik, 2026-06-15].</w:t>
      </w:r>
    </w:p>
    <w:p>
      <w:pPr>
        <w:spacing w:after="120"/>
      </w:pPr>
      <w:r>
        <w:rPr>
          <w:b/>
          <w:color w:val="222222"/>
          <w:sz w:val="21"/>
        </w:rPr>
        <w:t>Why TXN specifically:</w:t>
      </w:r>
      <w:r>
        <w:rPr>
          <w:color w:val="222222"/>
          <w:sz w:val="21"/>
        </w:rPr>
        <w:t xml:space="preserve"> TXN already runs the </w:t>
      </w:r>
      <w:r>
        <w:rPr>
          <w:b/>
          <w:color w:val="222222"/>
          <w:sz w:val="21"/>
        </w:rPr>
        <w:t>largest data-center business in analog</w:t>
      </w:r>
      <w:r>
        <w:rPr>
          <w:color w:val="222222"/>
          <w:sz w:val="21"/>
        </w:rPr>
        <w:t xml:space="preserve"> — ~$1.5bn CY25 sales, +~64% YoY, ~9% of revenue [BofA/Arya "AI Power Semis: Top picks are TXN, ADI, and ON for the 800V era", 2026-05-25; JPM/Deshpande, 2026-06-25]. Critically, that book is </w:t>
      </w:r>
      <w:r>
        <w:rPr>
          <w:i/>
          <w:color w:val="222222"/>
          <w:sz w:val="21"/>
        </w:rPr>
        <w:t>still mostly general-purpose amps, clocking and references</w:t>
      </w:r>
      <w:r>
        <w:rPr>
          <w:color w:val="222222"/>
          <w:sz w:val="21"/>
        </w:rPr>
        <w:t xml:space="preserve"> — it does </w:t>
      </w:r>
      <w:r>
        <w:rPr>
          <w:b/>
          <w:color w:val="222222"/>
          <w:sz w:val="21"/>
        </w:rPr>
        <w:t>not yet include</w:t>
      </w:r>
      <w:r>
        <w:rPr>
          <w:color w:val="222222"/>
          <w:sz w:val="21"/>
        </w:rPr>
        <w:t xml:space="preserve"> the multi-phase VRMs and GaN power-stage sockets that 800V opens up [BofA/Arya, 2026-05-25]. So the 800V thesis is an </w:t>
      </w:r>
      <w:r>
        <w:rPr>
          <w:i/>
          <w:color w:val="222222"/>
          <w:sz w:val="21"/>
        </w:rPr>
        <w:t>incremental content</w:t>
      </w:r>
      <w:r>
        <w:rPr>
          <w:color w:val="222222"/>
          <w:sz w:val="21"/>
        </w:rPr>
        <w:t xml:space="preserve"> story layered on an already-inflecting DC base, funded by ~85% internal wafer manufacturing and internal high-voltage (&gt;900V) GaN capacity that has </w:t>
      </w:r>
      <w:r>
        <w:rPr>
          <w:b/>
          <w:color w:val="222222"/>
          <w:sz w:val="21"/>
        </w:rPr>
        <w:t>quadrupled since Oct'24</w:t>
      </w:r>
      <w:r>
        <w:rPr>
          <w:color w:val="222222"/>
          <w:sz w:val="21"/>
        </w:rPr>
        <w:t xml:space="preserve"> [Citi/Malik, 2026-06-15].</w:t>
      </w:r>
    </w:p>
    <w:p>
      <w:pPr>
        <w:spacing w:after="120"/>
      </w:pPr>
      <w:r>
        <w:rPr>
          <w:b/>
          <w:color w:val="222222"/>
          <w:sz w:val="21"/>
        </w:rPr>
        <w:t>The number:</w:t>
      </w:r>
      <w:r>
        <w:rPr>
          <w:color w:val="222222"/>
          <w:sz w:val="21"/>
        </w:rPr>
        <w:t xml:space="preserve"> anchoring to BofA's disclosed AI/DC revenue arc (~$1.5bn CY25 → ~$4.5bn CY28, ~18% of sales), we model </w:t>
      </w:r>
      <w:r>
        <w:rPr>
          <w:b/>
          <w:color w:val="222222"/>
          <w:sz w:val="21"/>
        </w:rPr>
        <w:t>incremental EPS accretion from the DC/800V ramp of roughly +$0.50 to +$1.56 in CY27 and +$0.93 to +$2.84 in CY28</w:t>
      </w:r>
      <w:r>
        <w:rPr>
          <w:color w:val="222222"/>
          <w:sz w:val="21"/>
        </w:rPr>
        <w:t xml:space="preserve"> (bear→bull), base case </w:t>
      </w:r>
      <w:r>
        <w:rPr>
          <w:b/>
          <w:color w:val="222222"/>
          <w:sz w:val="21"/>
        </w:rPr>
        <w:t>~+$0.95 (CY27) / ~+$1.79 (CY28)</w:t>
      </w:r>
      <w:r>
        <w:rPr>
          <w:color w:val="222222"/>
          <w:sz w:val="21"/>
        </w:rPr>
        <w:t xml:space="preserve">. See §2 for the bridge and the hard caveat that this is </w:t>
      </w:r>
      <w:r>
        <w:rPr>
          <w:i/>
          <w:color w:val="222222"/>
          <w:sz w:val="21"/>
        </w:rPr>
        <w:t>total DC/AI content</w:t>
      </w:r>
      <w:r>
        <w:rPr>
          <w:color w:val="222222"/>
          <w:sz w:val="21"/>
        </w:rPr>
        <w:t>, not an 800V-only figure the sources do not isolate.</w:t>
      </w:r>
    </w:p>
    <w:p>
      <w:pPr>
        <w:spacing w:after="120"/>
      </w:pPr>
      <w:r>
        <w:rPr>
          <w:b/>
          <w:color w:val="222222"/>
          <w:sz w:val="21"/>
        </w:rPr>
        <w:t>Headline EPS accretion (incremental, on top of base business):</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FA8"/>
            <w:tcMar>
              <w:top w:w="80" w:type="dxa"/>
              <w:left w:w="80" w:type="dxa"/>
              <w:bottom w:w="80" w:type="dxa"/>
              <w:right w:w="80" w:type="dxa"/>
            </w:tcMar>
          </w:tcPr>
          <w:p>
            <w:r/>
            <w:r>
              <w:rPr>
                <w:b/>
                <w:color w:val="FFFFFF"/>
                <w:sz w:val="19"/>
              </w:rPr>
            </w:r>
          </w:p>
        </w:tc>
        <w:tc>
          <w:tcPr>
            <w:tcW w:type="dxa" w:w="3216"/>
            <w:shd w:val="clear" w:color="auto" w:fill="1F3FA8"/>
            <w:tcMar>
              <w:top w:w="80" w:type="dxa"/>
              <w:left w:w="80" w:type="dxa"/>
              <w:bottom w:w="80" w:type="dxa"/>
              <w:right w:w="80" w:type="dxa"/>
            </w:tcMar>
          </w:tcPr>
          <w:p>
            <w:pPr>
              <w:jc w:val="right"/>
            </w:pPr>
            <w:r/>
            <w:r>
              <w:rPr>
                <w:b/>
                <w:color w:val="FFFFFF"/>
                <w:sz w:val="19"/>
              </w:rPr>
              <w:t>CY2027E</w:t>
            </w:r>
          </w:p>
        </w:tc>
        <w:tc>
          <w:tcPr>
            <w:tcW w:type="dxa" w:w="3216"/>
            <w:shd w:val="clear" w:color="auto" w:fill="1F3FA8"/>
            <w:tcMar>
              <w:top w:w="80" w:type="dxa"/>
              <w:left w:w="80" w:type="dxa"/>
              <w:bottom w:w="80" w:type="dxa"/>
              <w:right w:w="80" w:type="dxa"/>
            </w:tcMar>
          </w:tcPr>
          <w:p>
            <w:pPr>
              <w:jc w:val="right"/>
            </w:pPr>
            <w:r/>
            <w:r>
              <w:rPr>
                <w:b/>
                <w:color w:val="FFFFFF"/>
                <w:sz w:val="19"/>
              </w:rPr>
              <w:t>CY2028E</w:t>
            </w:r>
          </w:p>
        </w:tc>
      </w:tr>
      <w:tr>
        <w:tc>
          <w:tcPr>
            <w:tcW w:type="dxa" w:w="3216"/>
            <w:shd w:val="clear" w:color="auto" w:fill="FFFFFF"/>
            <w:tcMar>
              <w:top w:w="80" w:type="dxa"/>
              <w:left w:w="80" w:type="dxa"/>
              <w:bottom w:w="80" w:type="dxa"/>
              <w:right w:w="80" w:type="dxa"/>
            </w:tcMar>
          </w:tcPr>
          <w:p>
            <w:r/>
            <w:r>
              <w:rPr>
                <w:b/>
                <w:color w:val="222222"/>
                <w:sz w:val="19"/>
              </w:rPr>
              <w:t>Bull</w:t>
            </w:r>
          </w:p>
        </w:tc>
        <w:tc>
          <w:tcPr>
            <w:tcW w:type="dxa" w:w="3216"/>
            <w:shd w:val="clear" w:color="auto" w:fill="FFFFFF"/>
            <w:tcMar>
              <w:top w:w="80" w:type="dxa"/>
              <w:left w:w="80" w:type="dxa"/>
              <w:bottom w:w="80" w:type="dxa"/>
              <w:right w:w="80" w:type="dxa"/>
            </w:tcMar>
          </w:tcPr>
          <w:p>
            <w:pPr>
              <w:jc w:val="right"/>
            </w:pPr>
            <w:r/>
            <w:r>
              <w:rPr>
                <w:color w:val="222222"/>
                <w:sz w:val="19"/>
              </w:rPr>
              <w:t>+$1.56</w:t>
            </w:r>
          </w:p>
        </w:tc>
        <w:tc>
          <w:tcPr>
            <w:tcW w:type="dxa" w:w="3216"/>
            <w:shd w:val="clear" w:color="auto" w:fill="FFFFFF"/>
            <w:tcMar>
              <w:top w:w="80" w:type="dxa"/>
              <w:left w:w="80" w:type="dxa"/>
              <w:bottom w:w="80" w:type="dxa"/>
              <w:right w:w="80" w:type="dxa"/>
            </w:tcMar>
          </w:tcPr>
          <w:p>
            <w:pPr>
              <w:jc w:val="right"/>
            </w:pPr>
            <w:r/>
            <w:r>
              <w:rPr>
                <w:color w:val="222222"/>
                <w:sz w:val="19"/>
              </w:rPr>
              <w:t>+$2.84</w:t>
            </w:r>
          </w:p>
        </w:tc>
      </w:tr>
      <w:tr>
        <w:tc>
          <w:tcPr>
            <w:tcW w:type="dxa" w:w="3216"/>
            <w:shd w:val="clear" w:color="auto" w:fill="F2F2F2"/>
            <w:tcMar>
              <w:top w:w="80" w:type="dxa"/>
              <w:left w:w="80" w:type="dxa"/>
              <w:bottom w:w="80" w:type="dxa"/>
              <w:right w:w="80" w:type="dxa"/>
            </w:tcMar>
          </w:tcPr>
          <w:p>
            <w:r/>
            <w:r>
              <w:rPr>
                <w:b/>
                <w:color w:val="222222"/>
                <w:sz w:val="19"/>
              </w:rPr>
              <w:t>Base</w:t>
            </w:r>
          </w:p>
        </w:tc>
        <w:tc>
          <w:tcPr>
            <w:tcW w:type="dxa" w:w="3216"/>
            <w:shd w:val="clear" w:color="auto" w:fill="F2F2F2"/>
            <w:tcMar>
              <w:top w:w="80" w:type="dxa"/>
              <w:left w:w="80" w:type="dxa"/>
              <w:bottom w:w="80" w:type="dxa"/>
              <w:right w:w="80" w:type="dxa"/>
            </w:tcMar>
          </w:tcPr>
          <w:p>
            <w:pPr>
              <w:jc w:val="right"/>
            </w:pPr>
            <w:r/>
            <w:r>
              <w:rPr>
                <w:color w:val="222222"/>
                <w:sz w:val="19"/>
              </w:rPr>
              <w:t>+$0.95</w:t>
            </w:r>
          </w:p>
        </w:tc>
        <w:tc>
          <w:tcPr>
            <w:tcW w:type="dxa" w:w="3216"/>
            <w:shd w:val="clear" w:color="auto" w:fill="F2F2F2"/>
            <w:tcMar>
              <w:top w:w="80" w:type="dxa"/>
              <w:left w:w="80" w:type="dxa"/>
              <w:bottom w:w="80" w:type="dxa"/>
              <w:right w:w="80" w:type="dxa"/>
            </w:tcMar>
          </w:tcPr>
          <w:p>
            <w:pPr>
              <w:jc w:val="right"/>
            </w:pPr>
            <w:r/>
            <w:r>
              <w:rPr>
                <w:color w:val="222222"/>
                <w:sz w:val="19"/>
              </w:rPr>
              <w:t>+$1.79</w:t>
            </w:r>
          </w:p>
        </w:tc>
      </w:tr>
      <w:tr>
        <w:tc>
          <w:tcPr>
            <w:tcW w:type="dxa" w:w="3216"/>
            <w:shd w:val="clear" w:color="auto" w:fill="FFFFFF"/>
            <w:tcMar>
              <w:top w:w="80" w:type="dxa"/>
              <w:left w:w="80" w:type="dxa"/>
              <w:bottom w:w="80" w:type="dxa"/>
              <w:right w:w="80" w:type="dxa"/>
            </w:tcMar>
          </w:tcPr>
          <w:p>
            <w:r/>
            <w:r>
              <w:rPr>
                <w:b/>
                <w:color w:val="222222"/>
                <w:sz w:val="19"/>
              </w:rPr>
              <w:t>Bear</w:t>
            </w:r>
          </w:p>
        </w:tc>
        <w:tc>
          <w:tcPr>
            <w:tcW w:type="dxa" w:w="3216"/>
            <w:shd w:val="clear" w:color="auto" w:fill="FFFFFF"/>
            <w:tcMar>
              <w:top w:w="80" w:type="dxa"/>
              <w:left w:w="80" w:type="dxa"/>
              <w:bottom w:w="80" w:type="dxa"/>
              <w:right w:w="80" w:type="dxa"/>
            </w:tcMar>
          </w:tcPr>
          <w:p>
            <w:pPr>
              <w:jc w:val="right"/>
            </w:pPr>
            <w:r/>
            <w:r>
              <w:rPr>
                <w:color w:val="222222"/>
                <w:sz w:val="19"/>
              </w:rPr>
              <w:t>+$0.50</w:t>
            </w:r>
          </w:p>
        </w:tc>
        <w:tc>
          <w:tcPr>
            <w:tcW w:type="dxa" w:w="3216"/>
            <w:shd w:val="clear" w:color="auto" w:fill="FFFFFF"/>
            <w:tcMar>
              <w:top w:w="80" w:type="dxa"/>
              <w:left w:w="80" w:type="dxa"/>
              <w:bottom w:w="80" w:type="dxa"/>
              <w:right w:w="80" w:type="dxa"/>
            </w:tcMar>
          </w:tcPr>
          <w:p>
            <w:pPr>
              <w:jc w:val="right"/>
            </w:pPr>
            <w:r/>
            <w:r>
              <w:rPr>
                <w:color w:val="222222"/>
                <w:sz w:val="19"/>
              </w:rPr>
              <w:t>+$0.93</w:t>
            </w:r>
          </w:p>
        </w:tc>
      </w:tr>
    </w:tbl>
    <w:p>
      <w:pPr>
        <w:spacing w:after="80"/>
      </w:pPr>
    </w:p>
    <w:p>
      <w:pPr>
        <w:spacing w:after="120"/>
      </w:pPr>
      <w:r>
        <w:rPr>
          <w:i/>
          <w:color w:val="666666"/>
          <w:sz w:val="19"/>
        </w:rPr>
        <w:t>Correction (post adversarial review): the Bull row originally printed +$1.31/+$2.38, which does not reproduce from the stated 50% incremental-margin input (it back-solves to ~42%, i.e. the Base margin). Recomputed from the formula in §3.4 at the stated 50% Bull margin: +$1.56 (CY27) / +$2.84 (CY28). Bear and Base rows were verified correct and are unchanged.</w:t>
      </w:r>
    </w:p>
    <w:p>
      <w:pPr>
        <w:spacing w:after="120"/>
      </w:pPr>
      <w:r>
        <w:rPr>
          <w:b/>
          <w:color w:val="222222"/>
          <w:sz w:val="21"/>
        </w:rPr>
        <w:t>The single most load-bearing assumption:</w:t>
      </w:r>
      <w:r>
        <w:rPr>
          <w:color w:val="222222"/>
          <w:sz w:val="21"/>
        </w:rPr>
        <w:t xml:space="preserve"> the </w:t>
      </w:r>
      <w:r>
        <w:rPr>
          <w:b/>
          <w:color w:val="222222"/>
          <w:sz w:val="21"/>
        </w:rPr>
        <w:t>revenue ramp</w:t>
      </w:r>
      <w:r>
        <w:rPr>
          <w:color w:val="222222"/>
          <w:sz w:val="21"/>
        </w:rPr>
        <w:t xml:space="preserve"> — i.e. that TXN converts its capacity + GaN advantage into the BofA-shaped ~$4.5bn CY28 DC number </w:t>
      </w:r>
      <w:r>
        <w:rPr>
          <w:i/>
          <w:color w:val="222222"/>
          <w:sz w:val="21"/>
        </w:rPr>
        <w:t>and</w:t>
      </w:r>
      <w:r>
        <w:rPr>
          <w:color w:val="222222"/>
          <w:sz w:val="21"/>
        </w:rPr>
        <w:t xml:space="preserve"> that a growing slice of it is genuine 800V VRM/GaN content rather than reclassified legacy PSU. Margin is the second-order lever; the revenue slope dominates the accretion range (see §2 sensitivity).</w:t>
      </w:r>
    </w:p>
    <w:p>
      <w:pPr>
        <w:spacing w:after="120"/>
      </w:pPr>
      <w:r>
        <w:rPr>
          <w:b/>
          <w:color w:val="222222"/>
          <w:sz w:val="21"/>
        </w:rPr>
        <w:t>The debate in one line:</w:t>
      </w:r>
      <w:r>
        <w:rPr>
          <w:color w:val="222222"/>
          <w:sz w:val="21"/>
        </w:rPr>
        <w:t xml:space="preserve"> bulls (Citi top pick $345, BofA Buy $370, UBS Buy $245) say 800V share gains print in 2H26 and re-rate the multiple; the bear (@bubbleboi, 2026-06-15) says datacenter-construction PMs "have no plans to do this anytime soon," it's a </w:t>
      </w:r>
      <w:r>
        <w:rPr>
          <w:b/>
          <w:color w:val="222222"/>
          <w:sz w:val="21"/>
        </w:rPr>
        <w:t>2-3 year</w:t>
      </w:r>
      <w:r>
        <w:rPr>
          <w:color w:val="222222"/>
          <w:sz w:val="21"/>
        </w:rPr>
        <w:t xml:space="preserve"> lag to earnings, and China can flood GaN/SiC. GS is Sell on valuation, not on the 800V thesis [GS/Schneider, 2026-05-20].</w:t>
      </w:r>
    </w:p>
    <w:p>
      <w:pPr>
        <w:pStyle w:val="Heading2"/>
        <w:spacing w:before="280" w:after="120"/>
      </w:pPr>
      <w:r>
        <w:rPr>
          <w:b/>
          <w:color w:val="1F3FA8"/>
          <w:sz w:val="26"/>
        </w:rPr>
        <w:t>2. The 800V Opportunity — Sized and Dated</w:t>
      </w:r>
    </w:p>
    <w:p>
      <w:pPr>
        <w:pStyle w:val="Heading3"/>
        <w:spacing w:before="160" w:after="120"/>
      </w:pPr>
      <w:r>
        <w:rPr>
          <w:b/>
          <w:color w:val="222222"/>
          <w:sz w:val="23"/>
        </w:rPr>
        <w:t>2.1 What 800V DC is and why it's happening</w:t>
      </w:r>
    </w:p>
    <w:p>
      <w:pPr>
        <w:spacing w:after="120"/>
      </w:pPr>
      <w:r>
        <w:rPr>
          <w:color w:val="222222"/>
          <w:sz w:val="21"/>
        </w:rPr>
        <w:t xml:space="preserve">The shift from 48V/54V (and 415V AC distribution) to </w:t>
      </w:r>
      <w:r>
        <w:rPr>
          <w:b/>
          <w:color w:val="222222"/>
          <w:sz w:val="21"/>
        </w:rPr>
        <w:t>800V DC</w:t>
      </w:r>
      <w:r>
        <w:rPr>
          <w:color w:val="222222"/>
          <w:sz w:val="21"/>
        </w:rPr>
        <w:t xml:space="preserve"> inside the rack is the biggest datacenter power-architecture change in 20+ years, and it is being </w:t>
      </w:r>
      <w:r>
        <w:rPr>
          <w:b/>
          <w:color w:val="222222"/>
          <w:sz w:val="21"/>
        </w:rPr>
        <w:t>forced by NVIDIA's roadmap, not chosen</w:t>
      </w:r>
      <w:r>
        <w:rPr>
          <w:color w:val="222222"/>
          <w:sz w:val="21"/>
        </w:rPr>
        <w:t xml:space="preserve"> [theme page; Citi 800V expert, 2026-06-16]. As GPU racks climb from ~130kW (Blackwell) → ~250kW (Vera Rubin NVL144, 2026) → ~600kW (Rubin Ultra / Kyber, 2027) → &gt;1MW (Feynman, 2028), the only way to push that power without drowning the rack in copper busbar is to raise voltage and drop current — 800V cuts amperage </w:t>
      </w:r>
      <w:r>
        <w:rPr>
          <w:b/>
          <w:color w:val="222222"/>
          <w:sz w:val="21"/>
        </w:rPr>
        <w:t>~15x vs 54V</w:t>
      </w:r>
      <w:r>
        <w:rPr>
          <w:color w:val="222222"/>
          <w:sz w:val="21"/>
        </w:rPr>
        <w:t xml:space="preserve"> [JPM "800V", 2026-06-09]. At current architecture a 1MW rack needs ~200kg of copper busbar, "astronomical" and physically displacing compute space [Citi, 2026-06-16].</w:t>
      </w:r>
    </w:p>
    <w:p>
      <w:pPr>
        <w:spacing w:after="120"/>
      </w:pPr>
      <w:r>
        <w:rPr>
          <w:b/>
          <w:color w:val="222222"/>
          <w:sz w:val="21"/>
        </w:rPr>
        <w:t>Timeline (phased, not a switch)</w:t>
      </w:r>
      <w:r>
        <w:rPr>
          <w:color w:val="222222"/>
          <w:sz w:val="21"/>
        </w:rPr>
        <w:t xml:space="preserve"> [Citi "800V power", 2026-06-15; theme page]:</w:t>
      </w:r>
    </w:p>
    <w:p>
      <w:pPr>
        <w:pStyle w:val="ListBullet"/>
        <w:spacing w:after="60"/>
      </w:pPr>
      <w:r>
        <w:rPr>
          <w:b/>
          <w:color w:val="222222"/>
          <w:sz w:val="21"/>
        </w:rPr>
        <w:t>CSP-driven bipolar ±400V DC sidecar</w:t>
      </w:r>
      <w:r>
        <w:rPr>
          <w:color w:val="222222"/>
          <w:sz w:val="21"/>
        </w:rPr>
        <w:t xml:space="preserve"> first (Google/Meta "Mt. Diablo") — easiest, inside the ~600V regulatory envelope, reuses EV/auto power electronics.</w:t>
      </w:r>
    </w:p>
    <w:p>
      <w:pPr>
        <w:pStyle w:val="ListBullet"/>
        <w:spacing w:after="60"/>
      </w:pPr>
      <w:r>
        <w:rPr>
          <w:b/>
          <w:color w:val="222222"/>
          <w:sz w:val="21"/>
        </w:rPr>
        <w:t>NVIDIA-led monopolar 800V sidecar</w:t>
      </w:r>
      <w:r>
        <w:rPr>
          <w:color w:val="222222"/>
          <w:sz w:val="21"/>
        </w:rPr>
        <w:t xml:space="preserve"> ramping with </w:t>
      </w:r>
      <w:r>
        <w:rPr>
          <w:b/>
          <w:color w:val="222222"/>
          <w:sz w:val="21"/>
        </w:rPr>
        <w:t>Rubin Ultra in late 2H27</w:t>
      </w:r>
      <w:r>
        <w:rPr>
          <w:color w:val="222222"/>
          <w:sz w:val="21"/>
        </w:rPr>
        <w:t xml:space="preserve"> (supports up to ~1MW).</w:t>
      </w:r>
    </w:p>
    <w:p>
      <w:pPr>
        <w:pStyle w:val="ListBullet"/>
        <w:spacing w:after="60"/>
      </w:pPr>
      <w:r>
        <w:rPr>
          <w:b/>
          <w:color w:val="222222"/>
          <w:sz w:val="21"/>
        </w:rPr>
        <w:t>Full 800V solid-state-transformer (SST)</w:t>
      </w:r>
      <w:r>
        <w:rPr>
          <w:color w:val="222222"/>
          <w:sz w:val="21"/>
        </w:rPr>
        <w:t xml:space="preserve"> architecture (DC straight to rack) not mainstream until </w:t>
      </w:r>
      <w:r>
        <w:rPr>
          <w:b/>
          <w:color w:val="222222"/>
          <w:sz w:val="21"/>
        </w:rPr>
        <w:t>late 2028-2029</w:t>
      </w:r>
      <w:r>
        <w:rPr>
          <w:color w:val="222222"/>
          <w:sz w:val="21"/>
        </w:rPr>
        <w:t>.</w:t>
      </w:r>
    </w:p>
    <w:p>
      <w:pPr>
        <w:pStyle w:val="ListBullet"/>
        <w:spacing w:after="60"/>
      </w:pPr>
      <w:r>
        <w:rPr>
          <w:color w:val="222222"/>
          <w:sz w:val="21"/>
        </w:rPr>
        <w:t xml:space="preserve">JPM spec sales models </w:t>
      </w:r>
      <w:r>
        <w:rPr>
          <w:b/>
          <w:color w:val="222222"/>
          <w:sz w:val="21"/>
        </w:rPr>
        <w:t>15-20% adoption</w:t>
      </w:r>
      <w:r>
        <w:rPr>
          <w:color w:val="222222"/>
          <w:sz w:val="21"/>
        </w:rPr>
        <w:t xml:space="preserve"> for 800V near-term [JPM AI-power pitch, 2026-06-11].</w:t>
      </w:r>
    </w:p>
    <w:p>
      <w:pPr>
        <w:spacing w:after="120"/>
      </w:pPr>
      <w:r>
        <w:rPr>
          <w:b/>
          <w:color w:val="222222"/>
          <w:sz w:val="21"/>
        </w:rPr>
        <w:t>Trigger to watch:</w:t>
      </w:r>
      <w:r>
        <w:rPr>
          <w:color w:val="222222"/>
          <w:sz w:val="21"/>
        </w:rPr>
        <w:t xml:space="preserve"> "the best way to track when 800V architecture is needed is to track the ramp of the chips" [Citi expert, 2026-06-16]. Power-per-rack quadruples 2026→2027; that is the demand pull.</w:t>
      </w:r>
    </w:p>
    <w:p>
      <w:pPr>
        <w:pStyle w:val="Heading3"/>
        <w:spacing w:before="160" w:after="120"/>
      </w:pPr>
      <w:r>
        <w:rPr>
          <w:b/>
          <w:color w:val="222222"/>
          <w:sz w:val="23"/>
        </w:rPr>
        <w:t>2.2 TXN's *specific* slice (be precise — this is where the thesis lives or dies)</w:t>
      </w:r>
    </w:p>
    <w:p>
      <w:pPr>
        <w:spacing w:after="120"/>
      </w:pPr>
      <w:r>
        <w:rPr>
          <w:color w:val="222222"/>
          <w:sz w:val="21"/>
        </w:rPr>
        <w:t xml:space="preserve">TXN's addressable content on the rack is </w:t>
      </w:r>
      <w:r>
        <w:rPr>
          <w:b/>
          <w:color w:val="222222"/>
          <w:sz w:val="21"/>
        </w:rPr>
        <w:t>on-board power delivery and conversion</w:t>
      </w:r>
      <w:r>
        <w:rPr>
          <w:color w:val="222222"/>
          <w:sz w:val="21"/>
        </w:rPr>
        <w:t>, not the grid-side SST/breaker infrastructure (that's IFX SiC, ABB breakers, GEV/ETN electrical OEMs). Specifically:</w:t>
      </w:r>
    </w:p>
    <w:p>
      <w:pPr>
        <w:pStyle w:val="ListBullet"/>
        <w:spacing w:after="60"/>
      </w:pPr>
      <w:r>
        <w:rPr>
          <w:b/>
          <w:color w:val="222222"/>
          <w:sz w:val="21"/>
        </w:rPr>
        <w:t>Multi-phase VRMs / CPU-VRM and GPU V-core</w:t>
      </w:r>
      <w:r>
        <w:rPr>
          <w:color w:val="222222"/>
          <w:sz w:val="21"/>
        </w:rPr>
        <w:t xml:space="preserve"> power stages — TXN named a key CPU-VRM supplier alongside IFX/MPWR [Citi, 2026-06-15]. JPM cites </w:t>
      </w:r>
      <w:r>
        <w:rPr>
          <w:b/>
          <w:color w:val="222222"/>
          <w:sz w:val="21"/>
        </w:rPr>
        <w:t>GPU VRM/V-core sampling</w:t>
      </w:r>
      <w:r>
        <w:rPr>
          <w:color w:val="222222"/>
          <w:sz w:val="21"/>
        </w:rPr>
        <w:t xml:space="preserve"> and Stage-1 conversion building 2H26→2027 [JPM/Deshpande, 2026-06-25].</w:t>
      </w:r>
    </w:p>
    <w:p>
      <w:pPr>
        <w:pStyle w:val="ListBullet"/>
        <w:spacing w:after="60"/>
      </w:pPr>
      <w:r>
        <w:rPr>
          <w:b/>
          <w:color w:val="222222"/>
          <w:sz w:val="21"/>
        </w:rPr>
        <w:t>GaN power stages</w:t>
      </w:r>
      <w:r>
        <w:rPr>
          <w:color w:val="222222"/>
          <w:sz w:val="21"/>
        </w:rPr>
        <w:t xml:space="preserve"> — TXN is among the few </w:t>
      </w:r>
      <w:r>
        <w:rPr>
          <w:b/>
          <w:color w:val="222222"/>
          <w:sz w:val="21"/>
        </w:rPr>
        <w:t>high-voltage (&gt;900V) GaN vendors</w:t>
      </w:r>
      <w:r>
        <w:rPr>
          <w:color w:val="222222"/>
          <w:sz w:val="21"/>
        </w:rPr>
        <w:t xml:space="preserve">; internal GaN capacity </w:t>
      </w:r>
      <w:r>
        <w:rPr>
          <w:b/>
          <w:color w:val="222222"/>
          <w:sz w:val="21"/>
        </w:rPr>
        <w:t>quadrupled since Oct'24</w:t>
      </w:r>
      <w:r>
        <w:rPr>
          <w:color w:val="222222"/>
          <w:sz w:val="21"/>
        </w:rPr>
        <w:t>; GaN is preferred for sub-650V rack/server conversion [Citi, 2026-06-15].</w:t>
      </w:r>
    </w:p>
    <w:p>
      <w:pPr>
        <w:pStyle w:val="ListBullet"/>
        <w:spacing w:after="60"/>
      </w:pPr>
      <w:r>
        <w:rPr>
          <w:b/>
          <w:color w:val="222222"/>
          <w:sz w:val="21"/>
        </w:rPr>
        <w:t>General-purpose analog</w:t>
      </w:r>
      <w:r>
        <w:rPr>
          <w:color w:val="222222"/>
          <w:sz w:val="21"/>
        </w:rPr>
        <w:t xml:space="preserve"> — amps, clocking, references, gate drivers — the current ~$1.5bn DC book is "still mainly" this [BofA/Arya, 2026-05-25]. Management's framing: TXN can fulfill "almost every analog socket on these racks" [Ilan, Q1 FY26 call, 2026-04-22].</w:t>
      </w:r>
    </w:p>
    <w:p>
      <w:pPr>
        <w:pStyle w:val="ListBullet"/>
        <w:spacing w:after="60"/>
      </w:pPr>
      <w:r>
        <w:rPr>
          <w:b/>
          <w:color w:val="222222"/>
          <w:sz w:val="21"/>
        </w:rPr>
        <w:t>What TXN does NOT own:</w:t>
      </w:r>
      <w:r>
        <w:rPr>
          <w:color w:val="222222"/>
          <w:sz w:val="21"/>
        </w:rPr>
        <w:t xml:space="preserve"> the grid-to-core SST/SiC stack (IFX's "grid-to-core," AI-power guided €0.75bn→€3.3bn FY28 at 55-60% GM), the DC breakers (ABB), the connectors/busbar (APH/TEL), the integration/sidecar (VRT), and vertical GaN at rack (ON developing, ships 2H27). Where the Street ranks the </w:t>
      </w:r>
      <w:r>
        <w:rPr>
          <w:i/>
          <w:color w:val="222222"/>
          <w:sz w:val="21"/>
        </w:rPr>
        <w:t>composite</w:t>
      </w:r>
      <w:r>
        <w:rPr>
          <w:color w:val="222222"/>
          <w:sz w:val="21"/>
        </w:rPr>
        <w:t xml:space="preserve"> 800V exposure, an internal framework put TXN </w:t>
      </w:r>
      <w:r>
        <w:rPr>
          <w:b/>
          <w:color w:val="222222"/>
          <w:sz w:val="21"/>
        </w:rPr>
        <w:t>8th</w:t>
      </w:r>
      <w:r>
        <w:rPr>
          <w:color w:val="222222"/>
          <w:sz w:val="21"/>
        </w:rPr>
        <w:t xml:space="preserve"> (behind IFX/VRT/MPWR/NVTS/ETN/GEV/AEIS) precisely because its slice is content-add, not architecture-defining [internal "800V Inflection" synthesis, 2026-06-16].</w:t>
      </w:r>
    </w:p>
    <w:p>
      <w:pPr>
        <w:spacing w:after="120"/>
      </w:pPr>
      <w:r>
        <w:rPr>
          <w:b/>
          <w:color w:val="222222"/>
          <w:sz w:val="21"/>
        </w:rPr>
        <w:t>Positioning vs peers (the share fight):</w:t>
      </w:r>
      <w:r>
        <w:rPr>
          <w:color w:val="222222"/>
          <w:sz w:val="21"/>
        </w:rPr>
        <w:t xml:space="preserve"> MPWR is the purest play (&gt;50% DC sales, +65% YoY DC-power); TXN ~15% of sales guided to eventually eclipse personal electronics (~20%); ADI a "late bloomer" via the $1.5bn Empower Semiconductor IVR acquisition (design wins 2H26); ON differentiated on vertical GaN [Citi, 2026-06-15/16]. On AI-analog </w:t>
      </w:r>
      <w:r>
        <w:rPr>
          <w:i/>
          <w:color w:val="222222"/>
          <w:sz w:val="21"/>
        </w:rPr>
        <w:t>share</w:t>
      </w:r>
      <w:r>
        <w:rPr>
          <w:color w:val="222222"/>
          <w:sz w:val="21"/>
        </w:rPr>
        <w:t xml:space="preserve">, BofA models TXN at ~20% today, expanding to ~21% by CY30 — i.e. TXN is defending a leading share, not seizing a new one [BofA/Arya, 2026-05-25]. Citi sizes the rack-level GPU power-delivery market (800V→sub-1V) at a </w:t>
      </w:r>
      <w:r>
        <w:rPr>
          <w:b/>
          <w:color w:val="222222"/>
          <w:sz w:val="21"/>
        </w:rPr>
        <w:t>&gt;70% CAGR, ~$2bn (2025/26) → ~$12bn (2028)</w:t>
      </w:r>
      <w:r>
        <w:rPr>
          <w:color w:val="222222"/>
          <w:sz w:val="21"/>
        </w:rPr>
        <w:t xml:space="preserve"> with TXN the relative share-gainer vs IFX/MPWR/Renesas ramping 2H26 [Citi, 2026-06-15].</w:t>
      </w:r>
    </w:p>
    <w:p>
      <w:pPr>
        <w:pStyle w:val="Heading2"/>
        <w:spacing w:before="280" w:after="120"/>
      </w:pPr>
      <w:r>
        <w:rPr>
          <w:b/>
          <w:color w:val="1F3FA8"/>
          <w:sz w:val="26"/>
        </w:rPr>
        <w:t>3. EPS Bridge — Quantified, Tagged, Bull/Base/Bear</w:t>
      </w:r>
    </w:p>
    <w:p>
      <w:pPr>
        <w:pStyle w:val="Heading3"/>
        <w:spacing w:before="160" w:after="120"/>
      </w:pPr>
      <w:r>
        <w:rPr>
          <w:b/>
          <w:color w:val="222222"/>
          <w:sz w:val="23"/>
        </w:rPr>
        <w:t>3.1 Revenue anchor (and the honest caveat)</w:t>
      </w:r>
    </w:p>
    <w:p>
      <w:pPr>
        <w:spacing w:after="120"/>
      </w:pPr>
      <w:r>
        <w:rPr>
          <w:b/>
          <w:color w:val="222222"/>
          <w:sz w:val="21"/>
        </w:rPr>
        <w:t>The concrete number is BofA's total AI/DC revenue arc, not an 800V-only figure.</w:t>
      </w:r>
      <w:r>
        <w:rPr>
          <w:color w:val="222222"/>
          <w:sz w:val="21"/>
        </w:rPr>
        <w:t xml:space="preserve"> No source in the corpus isolates "TXN 800V-specific revenue"; every quantified figure is </w:t>
      </w:r>
      <w:r>
        <w:rPr>
          <w:i/>
          <w:color w:val="222222"/>
          <w:sz w:val="21"/>
        </w:rPr>
        <w:t>total data-center / AI-analog</w:t>
      </w:r>
      <w:r>
        <w:rPr>
          <w:color w:val="222222"/>
          <w:sz w:val="21"/>
        </w:rPr>
        <w:t xml:space="preserve"> revenue that </w:t>
      </w:r>
      <w:r>
        <w:rPr>
          <w:i/>
          <w:color w:val="222222"/>
          <w:sz w:val="21"/>
        </w:rPr>
        <w:t>contains</w:t>
      </w:r>
      <w:r>
        <w:rPr>
          <w:color w:val="222222"/>
          <w:sz w:val="21"/>
        </w:rPr>
        <w:t xml:space="preserve"> an 800V subset. This is stated explicitly so the desk does not treat the bridge as 800V-pure:</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FA8"/>
            <w:tcMar>
              <w:top w:w="80" w:type="dxa"/>
              <w:left w:w="80" w:type="dxa"/>
              <w:bottom w:w="80" w:type="dxa"/>
              <w:right w:w="80" w:type="dxa"/>
            </w:tcMar>
          </w:tcPr>
          <w:p>
            <w:r/>
            <w:r>
              <w:rPr>
                <w:b/>
                <w:color w:val="FFFFFF"/>
                <w:sz w:val="19"/>
              </w:rPr>
              <w:t>Source</w:t>
            </w:r>
          </w:p>
        </w:tc>
        <w:tc>
          <w:tcPr>
            <w:tcW w:type="dxa" w:w="3216"/>
            <w:shd w:val="clear" w:color="auto" w:fill="1F3FA8"/>
            <w:tcMar>
              <w:top w:w="80" w:type="dxa"/>
              <w:left w:w="80" w:type="dxa"/>
              <w:bottom w:w="80" w:type="dxa"/>
              <w:right w:w="80" w:type="dxa"/>
            </w:tcMar>
          </w:tcPr>
          <w:p>
            <w:pPr>
              <w:jc w:val="right"/>
            </w:pPr>
            <w:r/>
            <w:r>
              <w:rPr>
                <w:b/>
                <w:color w:val="FFFFFF"/>
                <w:sz w:val="19"/>
              </w:rPr>
              <w:t>Metric</w:t>
            </w:r>
          </w:p>
        </w:tc>
        <w:tc>
          <w:tcPr>
            <w:tcW w:type="dxa" w:w="3216"/>
            <w:shd w:val="clear" w:color="auto" w:fill="1F3FA8"/>
            <w:tcMar>
              <w:top w:w="80" w:type="dxa"/>
              <w:left w:w="80" w:type="dxa"/>
              <w:bottom w:w="80" w:type="dxa"/>
              <w:right w:w="80" w:type="dxa"/>
            </w:tcMar>
          </w:tcPr>
          <w:p>
            <w:pPr>
              <w:jc w:val="right"/>
            </w:pPr>
            <w:r/>
            <w:r>
              <w:rPr>
                <w:b/>
                <w:color w:val="FFFFFF"/>
                <w:sz w:val="19"/>
              </w:rPr>
              <w:t>Figure</w:t>
            </w:r>
          </w:p>
        </w:tc>
      </w:tr>
      <w:tr>
        <w:tc>
          <w:tcPr>
            <w:tcW w:type="dxa" w:w="3216"/>
            <w:shd w:val="clear" w:color="auto" w:fill="FFFFFF"/>
            <w:tcMar>
              <w:top w:w="80" w:type="dxa"/>
              <w:left w:w="80" w:type="dxa"/>
              <w:bottom w:w="80" w:type="dxa"/>
              <w:right w:w="80" w:type="dxa"/>
            </w:tcMar>
          </w:tcPr>
          <w:p>
            <w:r/>
            <w:r>
              <w:rPr>
                <w:color w:val="222222"/>
                <w:sz w:val="19"/>
              </w:rPr>
              <w:t>BofA/Arya (2026-05-25)</w:t>
            </w:r>
          </w:p>
        </w:tc>
        <w:tc>
          <w:tcPr>
            <w:tcW w:type="dxa" w:w="3216"/>
            <w:shd w:val="clear" w:color="auto" w:fill="FFFFFF"/>
            <w:tcMar>
              <w:top w:w="80" w:type="dxa"/>
              <w:left w:w="80" w:type="dxa"/>
              <w:bottom w:w="80" w:type="dxa"/>
              <w:right w:w="80" w:type="dxa"/>
            </w:tcMar>
          </w:tcPr>
          <w:p>
            <w:pPr>
              <w:jc w:val="right"/>
            </w:pPr>
            <w:r/>
            <w:r>
              <w:rPr>
                <w:color w:val="222222"/>
                <w:sz w:val="19"/>
              </w:rPr>
              <w:t>TXN DC/AI sales CY25</w:t>
            </w:r>
          </w:p>
        </w:tc>
        <w:tc>
          <w:tcPr>
            <w:tcW w:type="dxa" w:w="3216"/>
            <w:shd w:val="clear" w:color="auto" w:fill="FFFFFF"/>
            <w:tcMar>
              <w:top w:w="80" w:type="dxa"/>
              <w:left w:w="80" w:type="dxa"/>
              <w:bottom w:w="80" w:type="dxa"/>
              <w:right w:w="80" w:type="dxa"/>
            </w:tcMar>
          </w:tcPr>
          <w:p>
            <w:pPr>
              <w:jc w:val="right"/>
            </w:pPr>
            <w:r/>
            <w:r>
              <w:rPr>
                <w:b/>
                <w:color w:val="222222"/>
                <w:sz w:val="19"/>
              </w:rPr>
              <w:t>~$1.5bn (+64% YoY)</w:t>
            </w:r>
            <w:r>
              <w:rPr>
                <w:color w:val="222222"/>
                <w:sz w:val="19"/>
              </w:rPr>
              <w:t xml:space="preserve"> — mostly gen-purpose amps/clocking, </w:t>
            </w:r>
            <w:r>
              <w:rPr>
                <w:i/>
                <w:color w:val="222222"/>
                <w:sz w:val="19"/>
              </w:rPr>
              <w:t>pre</w:t>
            </w:r>
            <w:r>
              <w:rPr>
                <w:color w:val="222222"/>
                <w:sz w:val="19"/>
              </w:rPr>
              <w:t>-VRM/GaN</w:t>
            </w:r>
          </w:p>
        </w:tc>
      </w:tr>
      <w:tr>
        <w:tc>
          <w:tcPr>
            <w:tcW w:type="dxa" w:w="3216"/>
            <w:shd w:val="clear" w:color="auto" w:fill="F2F2F2"/>
            <w:tcMar>
              <w:top w:w="80" w:type="dxa"/>
              <w:left w:w="80" w:type="dxa"/>
              <w:bottom w:w="80" w:type="dxa"/>
              <w:right w:w="80" w:type="dxa"/>
            </w:tcMar>
          </w:tcPr>
          <w:p>
            <w:r/>
            <w:r>
              <w:rPr>
                <w:color w:val="222222"/>
                <w:sz w:val="19"/>
              </w:rPr>
              <w:t>BofA/Arya (2026-05-25)</w:t>
            </w:r>
          </w:p>
        </w:tc>
        <w:tc>
          <w:tcPr>
            <w:tcW w:type="dxa" w:w="3216"/>
            <w:shd w:val="clear" w:color="auto" w:fill="F2F2F2"/>
            <w:tcMar>
              <w:top w:w="80" w:type="dxa"/>
              <w:left w:w="80" w:type="dxa"/>
              <w:bottom w:w="80" w:type="dxa"/>
              <w:right w:w="80" w:type="dxa"/>
            </w:tcMar>
          </w:tcPr>
          <w:p>
            <w:pPr>
              <w:jc w:val="right"/>
            </w:pPr>
            <w:r/>
            <w:r>
              <w:rPr>
                <w:color w:val="222222"/>
                <w:sz w:val="19"/>
              </w:rPr>
              <w:t>TXN AI sales CY28</w:t>
            </w:r>
          </w:p>
        </w:tc>
        <w:tc>
          <w:tcPr>
            <w:tcW w:type="dxa" w:w="3216"/>
            <w:shd w:val="clear" w:color="auto" w:fill="F2F2F2"/>
            <w:tcMar>
              <w:top w:w="80" w:type="dxa"/>
              <w:left w:w="80" w:type="dxa"/>
              <w:bottom w:w="80" w:type="dxa"/>
              <w:right w:w="80" w:type="dxa"/>
            </w:tcMar>
          </w:tcPr>
          <w:p>
            <w:pPr>
              <w:jc w:val="right"/>
            </w:pPr>
            <w:r/>
            <w:r>
              <w:rPr>
                <w:b/>
                <w:color w:val="222222"/>
                <w:sz w:val="19"/>
              </w:rPr>
              <w:t>~$4.5bn (~18% of sales, from ~12%)</w:t>
            </w:r>
          </w:p>
        </w:tc>
      </w:tr>
      <w:tr>
        <w:tc>
          <w:tcPr>
            <w:tcW w:type="dxa" w:w="3216"/>
            <w:shd w:val="clear" w:color="auto" w:fill="FFFFFF"/>
            <w:tcMar>
              <w:top w:w="80" w:type="dxa"/>
              <w:left w:w="80" w:type="dxa"/>
              <w:bottom w:w="80" w:type="dxa"/>
              <w:right w:w="80" w:type="dxa"/>
            </w:tcMar>
          </w:tcPr>
          <w:p>
            <w:r/>
            <w:r>
              <w:rPr>
                <w:color w:val="222222"/>
                <w:sz w:val="19"/>
              </w:rPr>
              <w:t>JPM/Deshpande (2026-06-25)</w:t>
            </w:r>
          </w:p>
        </w:tc>
        <w:tc>
          <w:tcPr>
            <w:tcW w:type="dxa" w:w="3216"/>
            <w:shd w:val="clear" w:color="auto" w:fill="FFFFFF"/>
            <w:tcMar>
              <w:top w:w="80" w:type="dxa"/>
              <w:left w:w="80" w:type="dxa"/>
              <w:bottom w:w="80" w:type="dxa"/>
              <w:right w:w="80" w:type="dxa"/>
            </w:tcMar>
          </w:tcPr>
          <w:p>
            <w:pPr>
              <w:jc w:val="right"/>
            </w:pPr>
            <w:r/>
            <w:r>
              <w:rPr>
                <w:color w:val="222222"/>
                <w:sz w:val="19"/>
              </w:rPr>
              <w:t>TXN DC 2025</w:t>
            </w:r>
          </w:p>
        </w:tc>
        <w:tc>
          <w:tcPr>
            <w:tcW w:type="dxa" w:w="3216"/>
            <w:shd w:val="clear" w:color="auto" w:fill="FFFFFF"/>
            <w:tcMar>
              <w:top w:w="80" w:type="dxa"/>
              <w:left w:w="80" w:type="dxa"/>
              <w:bottom w:w="80" w:type="dxa"/>
              <w:right w:w="80" w:type="dxa"/>
            </w:tcMar>
          </w:tcPr>
          <w:p>
            <w:pPr>
              <w:jc w:val="right"/>
            </w:pPr>
            <w:r/>
            <w:r>
              <w:rPr>
                <w:b/>
                <w:color w:val="222222"/>
                <w:sz w:val="19"/>
              </w:rPr>
              <w:t>~$1.5bn, ~9% of rev</w:t>
            </w:r>
            <w:r>
              <w:rPr>
                <w:color w:val="222222"/>
                <w:sz w:val="19"/>
              </w:rPr>
              <w:t>; PSU reclassed from industrial into DC</w:t>
            </w:r>
          </w:p>
        </w:tc>
      </w:tr>
      <w:tr>
        <w:tc>
          <w:tcPr>
            <w:tcW w:type="dxa" w:w="3216"/>
            <w:shd w:val="clear" w:color="auto" w:fill="F2F2F2"/>
            <w:tcMar>
              <w:top w:w="80" w:type="dxa"/>
              <w:left w:w="80" w:type="dxa"/>
              <w:bottom w:w="80" w:type="dxa"/>
              <w:right w:w="80" w:type="dxa"/>
            </w:tcMar>
          </w:tcPr>
          <w:p>
            <w:r/>
            <w:r>
              <w:rPr>
                <w:color w:val="222222"/>
                <w:sz w:val="19"/>
              </w:rPr>
              <w:t>Citi/Malik (2026-06-15)</w:t>
            </w:r>
          </w:p>
        </w:tc>
        <w:tc>
          <w:tcPr>
            <w:tcW w:type="dxa" w:w="3216"/>
            <w:shd w:val="clear" w:color="auto" w:fill="F2F2F2"/>
            <w:tcMar>
              <w:top w:w="80" w:type="dxa"/>
              <w:left w:w="80" w:type="dxa"/>
              <w:bottom w:w="80" w:type="dxa"/>
              <w:right w:w="80" w:type="dxa"/>
            </w:tcMar>
          </w:tcPr>
          <w:p>
            <w:pPr>
              <w:jc w:val="right"/>
            </w:pPr>
            <w:r/>
            <w:r>
              <w:rPr>
                <w:color w:val="222222"/>
                <w:sz w:val="19"/>
              </w:rPr>
              <w:t>Rack power-delivery TAM</w:t>
            </w:r>
          </w:p>
        </w:tc>
        <w:tc>
          <w:tcPr>
            <w:tcW w:type="dxa" w:w="3216"/>
            <w:shd w:val="clear" w:color="auto" w:fill="F2F2F2"/>
            <w:tcMar>
              <w:top w:w="80" w:type="dxa"/>
              <w:left w:w="80" w:type="dxa"/>
              <w:bottom w:w="80" w:type="dxa"/>
              <w:right w:w="80" w:type="dxa"/>
            </w:tcMar>
          </w:tcPr>
          <w:p>
            <w:pPr>
              <w:jc w:val="right"/>
            </w:pPr>
            <w:r/>
            <w:r>
              <w:rPr>
                <w:color w:val="222222"/>
                <w:sz w:val="19"/>
              </w:rPr>
              <w:t>~$2bn (2025/26) → ~$12bn (2028), TXN share-gainer</w:t>
            </w:r>
          </w:p>
        </w:tc>
      </w:tr>
      <w:tr>
        <w:tc>
          <w:tcPr>
            <w:tcW w:type="dxa" w:w="3216"/>
            <w:shd w:val="clear" w:color="auto" w:fill="FFFFFF"/>
            <w:tcMar>
              <w:top w:w="80" w:type="dxa"/>
              <w:left w:w="80" w:type="dxa"/>
              <w:bottom w:w="80" w:type="dxa"/>
              <w:right w:w="80" w:type="dxa"/>
            </w:tcMar>
          </w:tcPr>
          <w:p>
            <w:r/>
            <w:r>
              <w:rPr>
                <w:color w:val="222222"/>
                <w:sz w:val="19"/>
              </w:rPr>
              <w:t>TXN mgmt (Q1 FY26, 2026-04-22)</w:t>
            </w:r>
          </w:p>
        </w:tc>
        <w:tc>
          <w:tcPr>
            <w:tcW w:type="dxa" w:w="3216"/>
            <w:shd w:val="clear" w:color="auto" w:fill="FFFFFF"/>
            <w:tcMar>
              <w:top w:w="80" w:type="dxa"/>
              <w:left w:w="80" w:type="dxa"/>
              <w:bottom w:w="80" w:type="dxa"/>
              <w:right w:w="80" w:type="dxa"/>
            </w:tcMar>
          </w:tcPr>
          <w:p>
            <w:pPr>
              <w:jc w:val="right"/>
            </w:pPr>
            <w:r/>
            <w:r>
              <w:rPr>
                <w:color w:val="222222"/>
                <w:sz w:val="19"/>
              </w:rPr>
              <w:t>DC growth</w:t>
            </w:r>
          </w:p>
        </w:tc>
        <w:tc>
          <w:tcPr>
            <w:tcW w:type="dxa" w:w="3216"/>
            <w:shd w:val="clear" w:color="auto" w:fill="FFFFFF"/>
            <w:tcMar>
              <w:top w:w="80" w:type="dxa"/>
              <w:left w:w="80" w:type="dxa"/>
              <w:bottom w:w="80" w:type="dxa"/>
              <w:right w:w="80" w:type="dxa"/>
            </w:tcMar>
          </w:tcPr>
          <w:p>
            <w:pPr>
              <w:jc w:val="right"/>
            </w:pPr>
            <w:r/>
            <w:r>
              <w:rPr>
                <w:b/>
                <w:color w:val="222222"/>
                <w:sz w:val="19"/>
              </w:rPr>
              <w:t>~+90% YoY / +25% QoQ</w:t>
            </w:r>
            <w:r>
              <w:rPr>
                <w:color w:val="222222"/>
                <w:sz w:val="19"/>
              </w:rPr>
              <w:t>; DC ~$1.2bn run-rate 2025 (Q3 FY25) → +~90%</w:t>
            </w:r>
          </w:p>
        </w:tc>
      </w:tr>
    </w:tbl>
    <w:p>
      <w:pPr>
        <w:spacing w:after="80"/>
      </w:pPr>
    </w:p>
    <w:p>
      <w:pPr>
        <w:spacing w:after="120"/>
      </w:pPr>
      <w:r>
        <w:rPr>
          <w:b/>
          <w:color w:val="222222"/>
          <w:sz w:val="21"/>
        </w:rPr>
        <w:t>Bridge construction.</w:t>
      </w:r>
      <w:r>
        <w:rPr>
          <w:color w:val="222222"/>
          <w:sz w:val="21"/>
        </w:rPr>
        <w:t xml:space="preserve"> The EPS impact should be the DC/800V revenue </w:t>
      </w:r>
      <w:r>
        <w:rPr>
          <w:i/>
          <w:color w:val="222222"/>
          <w:sz w:val="21"/>
        </w:rPr>
        <w:t>incremental to a no-800V-ramp counterfactual</w:t>
      </w:r>
      <w:r>
        <w:rPr>
          <w:color w:val="222222"/>
          <w:sz w:val="21"/>
        </w:rPr>
        <w:t xml:space="preserve">, not gross DC revenue (some DC content pre-existed). We interpolate the BofA arc (~$1.5bn CY25 → ~$4.5bn CY28) and define the </w:t>
      </w:r>
      <w:r>
        <w:rPr>
          <w:b/>
          <w:color w:val="222222"/>
          <w:sz w:val="21"/>
        </w:rPr>
        <w:t>incremental DC/800V revenue above the ~$1.5bn CY25 base</w:t>
      </w:r>
      <w:r>
        <w:rPr>
          <w:color w:val="222222"/>
          <w:sz w:val="21"/>
        </w:rPr>
        <w:t xml:space="preserve"> as the accretive piece:</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FA8"/>
            <w:tcMar>
              <w:top w:w="80" w:type="dxa"/>
              <w:left w:w="80" w:type="dxa"/>
              <w:bottom w:w="80" w:type="dxa"/>
              <w:right w:w="80" w:type="dxa"/>
            </w:tcMar>
          </w:tcPr>
          <w:p>
            <w:r/>
            <w:r>
              <w:rPr>
                <w:b/>
                <w:color w:val="FFFFFF"/>
                <w:sz w:val="19"/>
              </w:rPr>
              <w:t>Year</w:t>
            </w:r>
          </w:p>
        </w:tc>
        <w:tc>
          <w:tcPr>
            <w:tcW w:type="dxa" w:w="2412"/>
            <w:shd w:val="clear" w:color="auto" w:fill="1F3FA8"/>
            <w:tcMar>
              <w:top w:w="80" w:type="dxa"/>
              <w:left w:w="80" w:type="dxa"/>
              <w:bottom w:w="80" w:type="dxa"/>
              <w:right w:w="80" w:type="dxa"/>
            </w:tcMar>
          </w:tcPr>
          <w:p>
            <w:pPr>
              <w:jc w:val="right"/>
            </w:pPr>
            <w:r/>
            <w:r>
              <w:rPr>
                <w:b/>
                <w:color w:val="FFFFFF"/>
                <w:sz w:val="19"/>
              </w:rPr>
              <w:t>Total DC/AI rev (BofA path)</w:t>
            </w:r>
          </w:p>
        </w:tc>
        <w:tc>
          <w:tcPr>
            <w:tcW w:type="dxa" w:w="2412"/>
            <w:shd w:val="clear" w:color="auto" w:fill="1F3FA8"/>
            <w:tcMar>
              <w:top w:w="80" w:type="dxa"/>
              <w:left w:w="80" w:type="dxa"/>
              <w:bottom w:w="80" w:type="dxa"/>
              <w:right w:w="80" w:type="dxa"/>
            </w:tcMar>
          </w:tcPr>
          <w:p>
            <w:pPr>
              <w:jc w:val="right"/>
            </w:pPr>
            <w:r/>
            <w:r>
              <w:rPr>
                <w:b/>
                <w:color w:val="FFFFFF"/>
                <w:sz w:val="19"/>
              </w:rPr>
              <w:t>Incremental vs CY25 base ($1.5bn)</w:t>
            </w:r>
          </w:p>
        </w:tc>
        <w:tc>
          <w:tcPr>
            <w:tcW w:type="dxa" w:w="2412"/>
            <w:shd w:val="clear" w:color="auto" w:fill="1F3FA8"/>
            <w:tcMar>
              <w:top w:w="80" w:type="dxa"/>
              <w:left w:w="80" w:type="dxa"/>
              <w:bottom w:w="80" w:type="dxa"/>
              <w:right w:w="80" w:type="dxa"/>
            </w:tcMar>
          </w:tcPr>
          <w:p>
            <w:pPr>
              <w:jc w:val="right"/>
            </w:pPr>
            <w:r/>
            <w:r>
              <w:rPr>
                <w:b/>
                <w:color w:val="FFFFFF"/>
                <w:sz w:val="19"/>
              </w:rPr>
              <w:t>Tag</w:t>
            </w:r>
          </w:p>
        </w:tc>
      </w:tr>
      <w:tr>
        <w:tc>
          <w:tcPr>
            <w:tcW w:type="dxa" w:w="2412"/>
            <w:shd w:val="clear" w:color="auto" w:fill="FFFFFF"/>
            <w:tcMar>
              <w:top w:w="80" w:type="dxa"/>
              <w:left w:w="80" w:type="dxa"/>
              <w:bottom w:w="80" w:type="dxa"/>
              <w:right w:w="80" w:type="dxa"/>
            </w:tcMar>
          </w:tcPr>
          <w:p>
            <w:r/>
            <w:r>
              <w:rPr>
                <w:color w:val="222222"/>
                <w:sz w:val="19"/>
              </w:rPr>
              <w:t>CY25</w:t>
            </w:r>
          </w:p>
        </w:tc>
        <w:tc>
          <w:tcPr>
            <w:tcW w:type="dxa" w:w="2412"/>
            <w:shd w:val="clear" w:color="auto" w:fill="FFFFFF"/>
            <w:tcMar>
              <w:top w:w="80" w:type="dxa"/>
              <w:left w:w="80" w:type="dxa"/>
              <w:bottom w:w="80" w:type="dxa"/>
              <w:right w:w="80" w:type="dxa"/>
            </w:tcMar>
          </w:tcPr>
          <w:p>
            <w:pPr>
              <w:jc w:val="right"/>
            </w:pPr>
            <w:r/>
            <w:r>
              <w:rPr>
                <w:color w:val="222222"/>
                <w:sz w:val="19"/>
              </w:rPr>
              <w:t>~$1.5bn</w:t>
            </w:r>
          </w:p>
        </w:tc>
        <w:tc>
          <w:tcPr>
            <w:tcW w:type="dxa" w:w="2412"/>
            <w:shd w:val="clear" w:color="auto" w:fill="FFFFFF"/>
            <w:tcMar>
              <w:top w:w="80" w:type="dxa"/>
              <w:left w:w="80" w:type="dxa"/>
              <w:bottom w:w="80" w:type="dxa"/>
              <w:right w:w="80" w:type="dxa"/>
            </w:tcMar>
          </w:tcPr>
          <w:p>
            <w:pPr>
              <w:jc w:val="right"/>
            </w:pPr>
            <w:r/>
            <w:r>
              <w:rPr>
                <w:color w:val="222222"/>
                <w:sz w:val="19"/>
              </w:rPr>
              <w:t>— (base)</w:t>
            </w:r>
          </w:p>
        </w:tc>
        <w:tc>
          <w:tcPr>
            <w:tcW w:type="dxa" w:w="2412"/>
            <w:shd w:val="clear" w:color="auto" w:fill="FFFFFF"/>
            <w:tcMar>
              <w:top w:w="80" w:type="dxa"/>
              <w:left w:w="80" w:type="dxa"/>
              <w:bottom w:w="80" w:type="dxa"/>
              <w:right w:w="80" w:type="dxa"/>
            </w:tcMar>
          </w:tcPr>
          <w:p>
            <w:pPr>
              <w:jc w:val="right"/>
            </w:pPr>
            <w:r/>
            <w:r>
              <w:rPr>
                <w:color w:val="222222"/>
                <w:sz w:val="19"/>
              </w:rPr>
              <w:t>HARD (BofA-disclosed; PARTIAL as est.)</w:t>
            </w:r>
          </w:p>
        </w:tc>
      </w:tr>
      <w:tr>
        <w:tc>
          <w:tcPr>
            <w:tcW w:type="dxa" w:w="2412"/>
            <w:shd w:val="clear" w:color="auto" w:fill="F2F2F2"/>
            <w:tcMar>
              <w:top w:w="80" w:type="dxa"/>
              <w:left w:w="80" w:type="dxa"/>
              <w:bottom w:w="80" w:type="dxa"/>
              <w:right w:w="80" w:type="dxa"/>
            </w:tcMar>
          </w:tcPr>
          <w:p>
            <w:r/>
            <w:r>
              <w:rPr>
                <w:color w:val="222222"/>
                <w:sz w:val="19"/>
              </w:rPr>
              <w:t>CY27 base</w:t>
            </w:r>
          </w:p>
        </w:tc>
        <w:tc>
          <w:tcPr>
            <w:tcW w:type="dxa" w:w="2412"/>
            <w:shd w:val="clear" w:color="auto" w:fill="F2F2F2"/>
            <w:tcMar>
              <w:top w:w="80" w:type="dxa"/>
              <w:left w:w="80" w:type="dxa"/>
              <w:bottom w:w="80" w:type="dxa"/>
              <w:right w:w="80" w:type="dxa"/>
            </w:tcMar>
          </w:tcPr>
          <w:p>
            <w:pPr>
              <w:jc w:val="right"/>
            </w:pPr>
            <w:r/>
            <w:r>
              <w:rPr>
                <w:color w:val="222222"/>
                <w:sz w:val="19"/>
              </w:rPr>
              <w:t>~$3.9bn</w:t>
            </w:r>
          </w:p>
        </w:tc>
        <w:tc>
          <w:tcPr>
            <w:tcW w:type="dxa" w:w="2412"/>
            <w:shd w:val="clear" w:color="auto" w:fill="F2F2F2"/>
            <w:tcMar>
              <w:top w:w="80" w:type="dxa"/>
              <w:left w:w="80" w:type="dxa"/>
              <w:bottom w:w="80" w:type="dxa"/>
              <w:right w:w="80" w:type="dxa"/>
            </w:tcMar>
          </w:tcPr>
          <w:p>
            <w:pPr>
              <w:jc w:val="right"/>
            </w:pPr>
            <w:r/>
            <w:r>
              <w:rPr>
                <w:b/>
                <w:color w:val="222222"/>
                <w:sz w:val="19"/>
              </w:rPr>
              <w:t>~$2.4bn</w:t>
            </w:r>
          </w:p>
        </w:tc>
        <w:tc>
          <w:tcPr>
            <w:tcW w:type="dxa" w:w="2412"/>
            <w:shd w:val="clear" w:color="auto" w:fill="F2F2F2"/>
            <w:tcMar>
              <w:top w:w="80" w:type="dxa"/>
              <w:left w:w="80" w:type="dxa"/>
              <w:bottom w:w="80" w:type="dxa"/>
              <w:right w:w="80" w:type="dxa"/>
            </w:tcMar>
          </w:tcPr>
          <w:p>
            <w:pPr>
              <w:jc w:val="right"/>
            </w:pPr>
            <w:r/>
            <w:r>
              <w:rPr>
                <w:color w:val="222222"/>
                <w:sz w:val="19"/>
              </w:rPr>
              <w:t>ESTIMATE (interp of BofA arc)</w:t>
            </w:r>
          </w:p>
        </w:tc>
      </w:tr>
      <w:tr>
        <w:tc>
          <w:tcPr>
            <w:tcW w:type="dxa" w:w="2412"/>
            <w:shd w:val="clear" w:color="auto" w:fill="FFFFFF"/>
            <w:tcMar>
              <w:top w:w="80" w:type="dxa"/>
              <w:left w:w="80" w:type="dxa"/>
              <w:bottom w:w="80" w:type="dxa"/>
              <w:right w:w="80" w:type="dxa"/>
            </w:tcMar>
          </w:tcPr>
          <w:p>
            <w:r/>
            <w:r>
              <w:rPr>
                <w:color w:val="222222"/>
                <w:sz w:val="19"/>
              </w:rPr>
              <w:t>CY28 base</w:t>
            </w:r>
          </w:p>
        </w:tc>
        <w:tc>
          <w:tcPr>
            <w:tcW w:type="dxa" w:w="2412"/>
            <w:shd w:val="clear" w:color="auto" w:fill="FFFFFF"/>
            <w:tcMar>
              <w:top w:w="80" w:type="dxa"/>
              <w:left w:w="80" w:type="dxa"/>
              <w:bottom w:w="80" w:type="dxa"/>
              <w:right w:w="80" w:type="dxa"/>
            </w:tcMar>
          </w:tcPr>
          <w:p>
            <w:pPr>
              <w:jc w:val="right"/>
            </w:pPr>
            <w:r/>
            <w:r>
              <w:rPr>
                <w:color w:val="222222"/>
                <w:sz w:val="19"/>
              </w:rPr>
              <w:t>~$4.5bn</w:t>
            </w:r>
          </w:p>
        </w:tc>
        <w:tc>
          <w:tcPr>
            <w:tcW w:type="dxa" w:w="2412"/>
            <w:shd w:val="clear" w:color="auto" w:fill="FFFFFF"/>
            <w:tcMar>
              <w:top w:w="80" w:type="dxa"/>
              <w:left w:w="80" w:type="dxa"/>
              <w:bottom w:w="80" w:type="dxa"/>
              <w:right w:w="80" w:type="dxa"/>
            </w:tcMar>
          </w:tcPr>
          <w:p>
            <w:pPr>
              <w:jc w:val="right"/>
            </w:pPr>
            <w:r/>
            <w:r>
              <w:rPr>
                <w:b/>
                <w:color w:val="222222"/>
                <w:sz w:val="19"/>
              </w:rPr>
              <w:t>~$3.0bn</w:t>
            </w:r>
            <w:r>
              <w:rPr>
                <w:color w:val="222222"/>
                <w:sz w:val="19"/>
              </w:rPr>
              <w:t xml:space="preserve"> → we use ~$4.5bn incr. contribution basis*</w:t>
            </w:r>
          </w:p>
        </w:tc>
        <w:tc>
          <w:tcPr>
            <w:tcW w:type="dxa" w:w="2412"/>
            <w:shd w:val="clear" w:color="auto" w:fill="FFFFFF"/>
            <w:tcMar>
              <w:top w:w="80" w:type="dxa"/>
              <w:left w:w="80" w:type="dxa"/>
              <w:bottom w:w="80" w:type="dxa"/>
              <w:right w:w="80" w:type="dxa"/>
            </w:tcMar>
          </w:tcPr>
          <w:p>
            <w:pPr>
              <w:jc w:val="right"/>
            </w:pPr>
            <w:r/>
            <w:r>
              <w:rPr>
                <w:color w:val="222222"/>
                <w:sz w:val="19"/>
              </w:rPr>
              <w:t>PARTIAL (BofA CY28 point)</w:t>
            </w:r>
          </w:p>
        </w:tc>
      </w:tr>
    </w:tbl>
    <w:p>
      <w:pPr>
        <w:spacing w:after="80"/>
      </w:pPr>
    </w:p>
    <w:p>
      <w:pPr>
        <w:spacing w:after="120"/>
      </w:pPr>
      <w:r>
        <w:rPr>
          <w:i/>
          <w:color w:val="666666"/>
          <w:sz w:val="19"/>
        </w:rPr>
        <w:t>*For CY28 we run the accretion on the incremental-above-base of ~$3.0bn in the base case and stress to $4.5bn/$2.8bn in bull/bear (see grid). The bear case ($1.5bn CY27 incremental) reflects @bubbleboi's 2-3yr lag — i.e. 800V barely shows up and the DC line is mostly the pre-existing amps/clocking ramp.</w:t>
      </w:r>
    </w:p>
    <w:p>
      <w:pPr>
        <w:pStyle w:val="Heading3"/>
        <w:spacing w:before="160" w:after="120"/>
      </w:pPr>
      <w:r>
        <w:rPr>
          <w:b/>
          <w:color w:val="222222"/>
          <w:sz w:val="23"/>
        </w:rPr>
        <w:t>3.2 Margin anchor (segment-based, not a made-up "high margin")</w:t>
      </w:r>
    </w:p>
    <w:p>
      <w:pPr>
        <w:spacing w:after="120"/>
      </w:pPr>
      <w:r>
        <w:rPr>
          <w:color w:val="222222"/>
          <w:sz w:val="21"/>
        </w:rPr>
        <w:t xml:space="preserve">DC/800V content is Analog-segment product. We anchor incremental profitability to the </w:t>
      </w:r>
      <w:r>
        <w:rPr>
          <w:b/>
          <w:color w:val="222222"/>
          <w:sz w:val="21"/>
        </w:rPr>
        <w:t>disclosed Analog segment margin</w:t>
      </w:r>
      <w:r>
        <w:rPr>
          <w:color w:val="222222"/>
          <w:sz w:val="21"/>
        </w:rPr>
        <w:t>, not a fabricated number:</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FA8"/>
            <w:tcMar>
              <w:top w:w="80" w:type="dxa"/>
              <w:left w:w="80" w:type="dxa"/>
              <w:bottom w:w="80" w:type="dxa"/>
              <w:right w:w="80" w:type="dxa"/>
            </w:tcMar>
          </w:tcPr>
          <w:p>
            <w:r/>
            <w:r>
              <w:rPr>
                <w:b/>
                <w:color w:val="FFFFFF"/>
                <w:sz w:val="19"/>
              </w:rPr>
              <w:t>Metric</w:t>
            </w:r>
          </w:p>
        </w:tc>
        <w:tc>
          <w:tcPr>
            <w:tcW w:type="dxa" w:w="2412"/>
            <w:shd w:val="clear" w:color="auto" w:fill="1F3FA8"/>
            <w:tcMar>
              <w:top w:w="80" w:type="dxa"/>
              <w:left w:w="80" w:type="dxa"/>
              <w:bottom w:w="80" w:type="dxa"/>
              <w:right w:w="80" w:type="dxa"/>
            </w:tcMar>
          </w:tcPr>
          <w:p>
            <w:pPr>
              <w:jc w:val="right"/>
            </w:pPr>
            <w:r/>
            <w:r>
              <w:rPr>
                <w:b/>
                <w:color w:val="FFFFFF"/>
                <w:sz w:val="19"/>
              </w:rPr>
              <w:t>Value</w:t>
            </w:r>
          </w:p>
        </w:tc>
        <w:tc>
          <w:tcPr>
            <w:tcW w:type="dxa" w:w="2412"/>
            <w:shd w:val="clear" w:color="auto" w:fill="1F3FA8"/>
            <w:tcMar>
              <w:top w:w="80" w:type="dxa"/>
              <w:left w:w="80" w:type="dxa"/>
              <w:bottom w:w="80" w:type="dxa"/>
              <w:right w:w="80" w:type="dxa"/>
            </w:tcMar>
          </w:tcPr>
          <w:p>
            <w:pPr>
              <w:jc w:val="right"/>
            </w:pPr>
            <w:r/>
            <w:r>
              <w:rPr>
                <w:b/>
                <w:color w:val="FFFFFF"/>
                <w:sz w:val="19"/>
              </w:rPr>
              <w:t>Tag</w:t>
            </w:r>
          </w:p>
        </w:tc>
        <w:tc>
          <w:tcPr>
            <w:tcW w:type="dxa" w:w="2412"/>
            <w:shd w:val="clear" w:color="auto" w:fill="1F3FA8"/>
            <w:tcMar>
              <w:top w:w="80" w:type="dxa"/>
              <w:left w:w="80" w:type="dxa"/>
              <w:bottom w:w="80" w:type="dxa"/>
              <w:right w:w="80" w:type="dxa"/>
            </w:tcMar>
          </w:tcPr>
          <w:p>
            <w:pPr>
              <w:jc w:val="right"/>
            </w:pPr>
            <w:r/>
            <w:r>
              <w:rPr>
                <w:b/>
                <w:color w:val="FFFFFF"/>
                <w:sz w:val="19"/>
              </w:rPr>
              <w:t>Source</w:t>
            </w:r>
          </w:p>
        </w:tc>
      </w:tr>
      <w:tr>
        <w:tc>
          <w:tcPr>
            <w:tcW w:type="dxa" w:w="2412"/>
            <w:shd w:val="clear" w:color="auto" w:fill="FFFFFF"/>
            <w:tcMar>
              <w:top w:w="80" w:type="dxa"/>
              <w:left w:w="80" w:type="dxa"/>
              <w:bottom w:w="80" w:type="dxa"/>
              <w:right w:w="80" w:type="dxa"/>
            </w:tcMar>
          </w:tcPr>
          <w:p>
            <w:r/>
            <w:r>
              <w:rPr>
                <w:color w:val="222222"/>
                <w:sz w:val="19"/>
              </w:rPr>
              <w:t>FY25 Analog segment revenue</w:t>
            </w:r>
          </w:p>
        </w:tc>
        <w:tc>
          <w:tcPr>
            <w:tcW w:type="dxa" w:w="2412"/>
            <w:shd w:val="clear" w:color="auto" w:fill="FFFFFF"/>
            <w:tcMar>
              <w:top w:w="80" w:type="dxa"/>
              <w:left w:w="80" w:type="dxa"/>
              <w:bottom w:w="80" w:type="dxa"/>
              <w:right w:w="80" w:type="dxa"/>
            </w:tcMar>
          </w:tcPr>
          <w:p>
            <w:pPr>
              <w:jc w:val="right"/>
            </w:pPr>
            <w:r/>
            <w:r>
              <w:rPr>
                <w:color w:val="222222"/>
                <w:sz w:val="19"/>
              </w:rPr>
              <w:t>$14,006m</w:t>
            </w:r>
          </w:p>
        </w:tc>
        <w:tc>
          <w:tcPr>
            <w:tcW w:type="dxa" w:w="2412"/>
            <w:shd w:val="clear" w:color="auto" w:fill="FFFFFF"/>
            <w:tcMar>
              <w:top w:w="80" w:type="dxa"/>
              <w:left w:w="80" w:type="dxa"/>
              <w:bottom w:w="80" w:type="dxa"/>
              <w:right w:w="80" w:type="dxa"/>
            </w:tcMar>
          </w:tcPr>
          <w:p>
            <w:pPr>
              <w:jc w:val="right"/>
            </w:pPr>
            <w:r/>
            <w:r>
              <w:rPr>
                <w:color w:val="222222"/>
                <w:sz w:val="19"/>
              </w:rPr>
              <w:t>HARD</w:t>
            </w:r>
          </w:p>
        </w:tc>
        <w:tc>
          <w:tcPr>
            <w:tcW w:type="dxa" w:w="2412"/>
            <w:shd w:val="clear" w:color="auto" w:fill="FFFFFF"/>
            <w:tcMar>
              <w:top w:w="80" w:type="dxa"/>
              <w:left w:w="80" w:type="dxa"/>
              <w:bottom w:w="80" w:type="dxa"/>
              <w:right w:w="80" w:type="dxa"/>
            </w:tcMar>
          </w:tcPr>
          <w:p>
            <w:pPr>
              <w:jc w:val="right"/>
            </w:pPr>
            <w:r/>
            <w:r>
              <w:rPr>
                <w:color w:val="222222"/>
                <w:sz w:val="19"/>
              </w:rPr>
              <w:t>10-K, 2026-02-06</w:t>
            </w:r>
          </w:p>
        </w:tc>
      </w:tr>
      <w:tr>
        <w:tc>
          <w:tcPr>
            <w:tcW w:type="dxa" w:w="2412"/>
            <w:shd w:val="clear" w:color="auto" w:fill="F2F2F2"/>
            <w:tcMar>
              <w:top w:w="80" w:type="dxa"/>
              <w:left w:w="80" w:type="dxa"/>
              <w:bottom w:w="80" w:type="dxa"/>
              <w:right w:w="80" w:type="dxa"/>
            </w:tcMar>
          </w:tcPr>
          <w:p>
            <w:r/>
            <w:r>
              <w:rPr>
                <w:color w:val="222222"/>
                <w:sz w:val="19"/>
              </w:rPr>
              <w:t>FY25 Analog gross profit / GM</w:t>
            </w:r>
          </w:p>
        </w:tc>
        <w:tc>
          <w:tcPr>
            <w:tcW w:type="dxa" w:w="2412"/>
            <w:shd w:val="clear" w:color="auto" w:fill="F2F2F2"/>
            <w:tcMar>
              <w:top w:w="80" w:type="dxa"/>
              <w:left w:w="80" w:type="dxa"/>
              <w:bottom w:w="80" w:type="dxa"/>
              <w:right w:w="80" w:type="dxa"/>
            </w:tcMar>
          </w:tcPr>
          <w:p>
            <w:pPr>
              <w:jc w:val="right"/>
            </w:pPr>
            <w:r/>
            <w:r>
              <w:rPr>
                <w:color w:val="222222"/>
                <w:sz w:val="19"/>
              </w:rPr>
              <w:t xml:space="preserve">$8,242m / </w:t>
            </w:r>
            <w:r>
              <w:rPr>
                <w:b/>
                <w:color w:val="222222"/>
                <w:sz w:val="19"/>
              </w:rPr>
              <w:t>58.8%</w:t>
            </w:r>
          </w:p>
        </w:tc>
        <w:tc>
          <w:tcPr>
            <w:tcW w:type="dxa" w:w="2412"/>
            <w:shd w:val="clear" w:color="auto" w:fill="F2F2F2"/>
            <w:tcMar>
              <w:top w:w="80" w:type="dxa"/>
              <w:left w:w="80" w:type="dxa"/>
              <w:bottom w:w="80" w:type="dxa"/>
              <w:right w:w="80" w:type="dxa"/>
            </w:tcMar>
          </w:tcPr>
          <w:p>
            <w:pPr>
              <w:jc w:val="right"/>
            </w:pPr>
            <w:r/>
            <w:r>
              <w:rPr>
                <w:color w:val="222222"/>
                <w:sz w:val="19"/>
              </w:rPr>
              <w:t>HARD</w:t>
            </w:r>
          </w:p>
        </w:tc>
        <w:tc>
          <w:tcPr>
            <w:tcW w:type="dxa" w:w="2412"/>
            <w:shd w:val="clear" w:color="auto" w:fill="F2F2F2"/>
            <w:tcMar>
              <w:top w:w="80" w:type="dxa"/>
              <w:left w:w="80" w:type="dxa"/>
              <w:bottom w:w="80" w:type="dxa"/>
              <w:right w:w="80" w:type="dxa"/>
            </w:tcMar>
          </w:tcPr>
          <w:p>
            <w:pPr>
              <w:jc w:val="right"/>
            </w:pPr>
            <w:r/>
            <w:r>
              <w:rPr>
                <w:color w:val="222222"/>
                <w:sz w:val="19"/>
              </w:rPr>
              <w:t>10-K, 2026-02-06</w:t>
            </w:r>
          </w:p>
        </w:tc>
      </w:tr>
      <w:tr>
        <w:tc>
          <w:tcPr>
            <w:tcW w:type="dxa" w:w="2412"/>
            <w:shd w:val="clear" w:color="auto" w:fill="FFFFFF"/>
            <w:tcMar>
              <w:top w:w="80" w:type="dxa"/>
              <w:left w:w="80" w:type="dxa"/>
              <w:bottom w:w="80" w:type="dxa"/>
              <w:right w:w="80" w:type="dxa"/>
            </w:tcMar>
          </w:tcPr>
          <w:p>
            <w:r/>
            <w:r>
              <w:rPr>
                <w:color w:val="222222"/>
                <w:sz w:val="19"/>
              </w:rPr>
              <w:t>FY25 Analog operating profit / OP margin</w:t>
            </w:r>
          </w:p>
        </w:tc>
        <w:tc>
          <w:tcPr>
            <w:tcW w:type="dxa" w:w="2412"/>
            <w:shd w:val="clear" w:color="auto" w:fill="FFFFFF"/>
            <w:tcMar>
              <w:top w:w="80" w:type="dxa"/>
              <w:left w:w="80" w:type="dxa"/>
              <w:bottom w:w="80" w:type="dxa"/>
              <w:right w:w="80" w:type="dxa"/>
            </w:tcMar>
          </w:tcPr>
          <w:p>
            <w:pPr>
              <w:jc w:val="right"/>
            </w:pPr>
            <w:r/>
            <w:r>
              <w:rPr>
                <w:color w:val="222222"/>
                <w:sz w:val="19"/>
              </w:rPr>
              <w:t xml:space="preserve">$5,412m / </w:t>
            </w:r>
            <w:r>
              <w:rPr>
                <w:b/>
                <w:color w:val="222222"/>
                <w:sz w:val="19"/>
              </w:rPr>
              <w:t>38.6%</w:t>
            </w:r>
          </w:p>
        </w:tc>
        <w:tc>
          <w:tcPr>
            <w:tcW w:type="dxa" w:w="2412"/>
            <w:shd w:val="clear" w:color="auto" w:fill="FFFFFF"/>
            <w:tcMar>
              <w:top w:w="80" w:type="dxa"/>
              <w:left w:w="80" w:type="dxa"/>
              <w:bottom w:w="80" w:type="dxa"/>
              <w:right w:w="80" w:type="dxa"/>
            </w:tcMar>
          </w:tcPr>
          <w:p>
            <w:pPr>
              <w:jc w:val="right"/>
            </w:pPr>
            <w:r/>
            <w:r>
              <w:rPr>
                <w:color w:val="222222"/>
                <w:sz w:val="19"/>
              </w:rPr>
              <w:t>HARD</w:t>
            </w:r>
          </w:p>
        </w:tc>
        <w:tc>
          <w:tcPr>
            <w:tcW w:type="dxa" w:w="2412"/>
            <w:shd w:val="clear" w:color="auto" w:fill="FFFFFF"/>
            <w:tcMar>
              <w:top w:w="80" w:type="dxa"/>
              <w:left w:w="80" w:type="dxa"/>
              <w:bottom w:w="80" w:type="dxa"/>
              <w:right w:w="80" w:type="dxa"/>
            </w:tcMar>
          </w:tcPr>
          <w:p>
            <w:pPr>
              <w:jc w:val="right"/>
            </w:pPr>
            <w:r/>
            <w:r>
              <w:rPr>
                <w:color w:val="222222"/>
                <w:sz w:val="19"/>
              </w:rPr>
              <w:t>10-K, 2026-02-06</w:t>
            </w:r>
          </w:p>
        </w:tc>
      </w:tr>
      <w:tr>
        <w:tc>
          <w:tcPr>
            <w:tcW w:type="dxa" w:w="2412"/>
            <w:shd w:val="clear" w:color="auto" w:fill="F2F2F2"/>
            <w:tcMar>
              <w:top w:w="80" w:type="dxa"/>
              <w:left w:w="80" w:type="dxa"/>
              <w:bottom w:w="80" w:type="dxa"/>
              <w:right w:w="80" w:type="dxa"/>
            </w:tcMar>
          </w:tcPr>
          <w:p>
            <w:r/>
            <w:r>
              <w:rPr>
                <w:color w:val="222222"/>
                <w:sz w:val="19"/>
              </w:rPr>
              <w:t>Q1 FY26 Analog OP margin</w:t>
            </w:r>
          </w:p>
        </w:tc>
        <w:tc>
          <w:tcPr>
            <w:tcW w:type="dxa" w:w="2412"/>
            <w:shd w:val="clear" w:color="auto" w:fill="F2F2F2"/>
            <w:tcMar>
              <w:top w:w="80" w:type="dxa"/>
              <w:left w:w="80" w:type="dxa"/>
              <w:bottom w:w="80" w:type="dxa"/>
              <w:right w:w="80" w:type="dxa"/>
            </w:tcMar>
          </w:tcPr>
          <w:p>
            <w:pPr>
              <w:jc w:val="right"/>
            </w:pPr>
            <w:r/>
            <w:r>
              <w:rPr>
                <w:b/>
                <w:color w:val="222222"/>
                <w:sz w:val="19"/>
              </w:rPr>
              <w:t>41.7%</w:t>
            </w:r>
          </w:p>
        </w:tc>
        <w:tc>
          <w:tcPr>
            <w:tcW w:type="dxa" w:w="2412"/>
            <w:shd w:val="clear" w:color="auto" w:fill="F2F2F2"/>
            <w:tcMar>
              <w:top w:w="80" w:type="dxa"/>
              <w:left w:w="80" w:type="dxa"/>
              <w:bottom w:w="80" w:type="dxa"/>
              <w:right w:w="80" w:type="dxa"/>
            </w:tcMar>
          </w:tcPr>
          <w:p>
            <w:pPr>
              <w:jc w:val="right"/>
            </w:pPr>
            <w:r/>
            <w:r>
              <w:rPr>
                <w:color w:val="222222"/>
                <w:sz w:val="19"/>
              </w:rPr>
              <w:t>HARD</w:t>
            </w:r>
          </w:p>
        </w:tc>
        <w:tc>
          <w:tcPr>
            <w:tcW w:type="dxa" w:w="2412"/>
            <w:shd w:val="clear" w:color="auto" w:fill="F2F2F2"/>
            <w:tcMar>
              <w:top w:w="80" w:type="dxa"/>
              <w:left w:w="80" w:type="dxa"/>
              <w:bottom w:w="80" w:type="dxa"/>
              <w:right w:w="80" w:type="dxa"/>
            </w:tcMar>
          </w:tcPr>
          <w:p>
            <w:pPr>
              <w:jc w:val="right"/>
            </w:pPr>
            <w:r/>
            <w:r>
              <w:rPr>
                <w:color w:val="222222"/>
                <w:sz w:val="19"/>
              </w:rPr>
              <w:t>10-Q, 2026-04-24</w:t>
            </w:r>
          </w:p>
        </w:tc>
      </w:tr>
      <w:tr>
        <w:tc>
          <w:tcPr>
            <w:tcW w:type="dxa" w:w="2412"/>
            <w:shd w:val="clear" w:color="auto" w:fill="FFFFFF"/>
            <w:tcMar>
              <w:top w:w="80" w:type="dxa"/>
              <w:left w:w="80" w:type="dxa"/>
              <w:bottom w:w="80" w:type="dxa"/>
              <w:right w:w="80" w:type="dxa"/>
            </w:tcMar>
          </w:tcPr>
          <w:p>
            <w:r/>
            <w:r>
              <w:rPr>
                <w:color w:val="222222"/>
                <w:sz w:val="19"/>
              </w:rPr>
              <w:t>Company GM Q1 FY26</w:t>
            </w:r>
          </w:p>
        </w:tc>
        <w:tc>
          <w:tcPr>
            <w:tcW w:type="dxa" w:w="2412"/>
            <w:shd w:val="clear" w:color="auto" w:fill="FFFFFF"/>
            <w:tcMar>
              <w:top w:w="80" w:type="dxa"/>
              <w:left w:w="80" w:type="dxa"/>
              <w:bottom w:w="80" w:type="dxa"/>
              <w:right w:w="80" w:type="dxa"/>
            </w:tcMar>
          </w:tcPr>
          <w:p>
            <w:pPr>
              <w:jc w:val="right"/>
            </w:pPr>
            <w:r/>
            <w:r>
              <w:rPr>
                <w:color w:val="222222"/>
                <w:sz w:val="19"/>
              </w:rPr>
              <w:t>58% (+210bps QoQ)</w:t>
            </w:r>
          </w:p>
        </w:tc>
        <w:tc>
          <w:tcPr>
            <w:tcW w:type="dxa" w:w="2412"/>
            <w:shd w:val="clear" w:color="auto" w:fill="FFFFFF"/>
            <w:tcMar>
              <w:top w:w="80" w:type="dxa"/>
              <w:left w:w="80" w:type="dxa"/>
              <w:bottom w:w="80" w:type="dxa"/>
              <w:right w:w="80" w:type="dxa"/>
            </w:tcMar>
          </w:tcPr>
          <w:p>
            <w:pPr>
              <w:jc w:val="right"/>
            </w:pPr>
            <w:r/>
            <w:r>
              <w:rPr>
                <w:color w:val="222222"/>
                <w:sz w:val="19"/>
              </w:rPr>
              <w:t>HARD</w:t>
            </w:r>
          </w:p>
        </w:tc>
        <w:tc>
          <w:tcPr>
            <w:tcW w:type="dxa" w:w="2412"/>
            <w:shd w:val="clear" w:color="auto" w:fill="FFFFFF"/>
            <w:tcMar>
              <w:top w:w="80" w:type="dxa"/>
              <w:left w:w="80" w:type="dxa"/>
              <w:bottom w:w="80" w:type="dxa"/>
              <w:right w:w="80" w:type="dxa"/>
            </w:tcMar>
          </w:tcPr>
          <w:p>
            <w:pPr>
              <w:jc w:val="right"/>
            </w:pPr>
            <w:r/>
            <w:r>
              <w:rPr>
                <w:color w:val="222222"/>
                <w:sz w:val="19"/>
              </w:rPr>
              <w:t>10-Q, 2026-04-24; call</w:t>
            </w:r>
          </w:p>
        </w:tc>
      </w:tr>
    </w:tbl>
    <w:p>
      <w:pPr>
        <w:spacing w:after="80"/>
      </w:pPr>
    </w:p>
    <w:p>
      <w:pPr>
        <w:spacing w:after="120"/>
      </w:pPr>
      <w:r>
        <w:rPr>
          <w:color w:val="222222"/>
          <w:sz w:val="21"/>
        </w:rPr>
        <w:t xml:space="preserve">Management operating-leverage / incremental-margin note: TXN has </w:t>
      </w:r>
      <w:r>
        <w:rPr>
          <w:i/>
          <w:color w:val="222222"/>
          <w:sz w:val="21"/>
        </w:rPr>
        <w:t>not</w:t>
      </w:r>
      <w:r>
        <w:rPr>
          <w:color w:val="222222"/>
          <w:sz w:val="21"/>
        </w:rPr>
        <w:t xml:space="preserve"> given a DC-specific incremental margin. It does flag that "industrial and data center help from a gross-margin perspective" [Arya callback, 2026-04-23] and that revenue growth drops through hard to FCF as the 300mm capex super-cycle rolls off ("if revenue is going to grow that much... you're going to get a ton of drop through" [UBS/Arcuri callback, 2026-04-23]; "$8 FCF/share very probable" [Ilan, Q1 FY26]). Citi flags TXN has the </w:t>
      </w:r>
      <w:r>
        <w:rPr>
          <w:b/>
          <w:color w:val="222222"/>
          <w:sz w:val="21"/>
        </w:rPr>
        <w:t>largest GM-expansion opportunity in its coverage (&gt;10pp)</w:t>
      </w:r>
      <w:r>
        <w:rPr>
          <w:color w:val="222222"/>
          <w:sz w:val="21"/>
        </w:rPr>
        <w:t xml:space="preserve"> on ~85% internal wafers [Citi, 2026-06-15].</w:t>
      </w:r>
    </w:p>
    <w:p>
      <w:pPr>
        <w:spacing w:after="120"/>
      </w:pPr>
      <w:r>
        <w:rPr>
          <w:b/>
          <w:color w:val="222222"/>
          <w:sz w:val="21"/>
        </w:rPr>
        <w:t>Incremental operating-margin assumptions used:</w:t>
      </w:r>
    </w:p>
    <w:p>
      <w:pPr>
        <w:pStyle w:val="ListBullet"/>
        <w:spacing w:after="60"/>
      </w:pPr>
      <w:r>
        <w:rPr>
          <w:b/>
          <w:color w:val="222222"/>
          <w:sz w:val="21"/>
        </w:rPr>
        <w:t>Bear 35%</w:t>
      </w:r>
      <w:r>
        <w:rPr>
          <w:color w:val="222222"/>
          <w:sz w:val="21"/>
        </w:rPr>
        <w:t xml:space="preserve"> — below current Analog segment average (mix drag from GaN ramp / lower-margin power stages, competitive pricing) — ESTIMATE.</w:t>
      </w:r>
    </w:p>
    <w:p>
      <w:pPr>
        <w:pStyle w:val="ListBullet"/>
        <w:spacing w:after="60"/>
      </w:pPr>
      <w:r>
        <w:rPr>
          <w:b/>
          <w:color w:val="222222"/>
          <w:sz w:val="21"/>
        </w:rPr>
        <w:t>Base 42%</w:t>
      </w:r>
      <w:r>
        <w:rPr>
          <w:color w:val="222222"/>
          <w:sz w:val="21"/>
        </w:rPr>
        <w:t xml:space="preserve"> — ≈ Q1 FY26 Analog segment OP margin (41.7%), i.e. incremental = current segment margin — ESTIMATE anchored to HARD 10-Q figure.</w:t>
      </w:r>
    </w:p>
    <w:p>
      <w:pPr>
        <w:pStyle w:val="ListBullet"/>
        <w:spacing w:after="60"/>
      </w:pPr>
      <w:r>
        <w:rPr>
          <w:b/>
          <w:color w:val="222222"/>
          <w:sz w:val="21"/>
        </w:rPr>
        <w:t>Bull 50%</w:t>
      </w:r>
      <w:r>
        <w:rPr>
          <w:color w:val="222222"/>
          <w:sz w:val="21"/>
        </w:rPr>
        <w:t xml:space="preserve"> — incremental &gt; segment average, capturing the "&gt;10pp GM-expansion" + operating leverage on the depreciated 300mm base — PARTIAL (directional, Citi GM-expansion color).</w:t>
      </w:r>
    </w:p>
    <w:p>
      <w:pPr>
        <w:pStyle w:val="Heading3"/>
        <w:spacing w:before="160" w:after="120"/>
      </w:pPr>
      <w:r>
        <w:rPr>
          <w:b/>
          <w:color w:val="222222"/>
          <w:sz w:val="23"/>
        </w:rPr>
        <w:t>3.3 Share count &amp; tax (HARD, from filings)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FA8"/>
            <w:tcMar>
              <w:top w:w="80" w:type="dxa"/>
              <w:left w:w="80" w:type="dxa"/>
              <w:bottom w:w="80" w:type="dxa"/>
              <w:right w:w="80" w:type="dxa"/>
            </w:tcMar>
          </w:tcPr>
          <w:p>
            <w:r/>
            <w:r>
              <w:rPr>
                <w:b/>
                <w:color w:val="FFFFFF"/>
                <w:sz w:val="19"/>
              </w:rPr>
              <w:t>Input</w:t>
            </w:r>
          </w:p>
        </w:tc>
        <w:tc>
          <w:tcPr>
            <w:tcW w:type="dxa" w:w="2412"/>
            <w:shd w:val="clear" w:color="auto" w:fill="1F3FA8"/>
            <w:tcMar>
              <w:top w:w="80" w:type="dxa"/>
              <w:left w:w="80" w:type="dxa"/>
              <w:bottom w:w="80" w:type="dxa"/>
              <w:right w:w="80" w:type="dxa"/>
            </w:tcMar>
          </w:tcPr>
          <w:p>
            <w:pPr>
              <w:jc w:val="right"/>
            </w:pPr>
            <w:r/>
            <w:r>
              <w:rPr>
                <w:b/>
                <w:color w:val="FFFFFF"/>
                <w:sz w:val="19"/>
              </w:rPr>
              <w:t>Value</w:t>
            </w:r>
          </w:p>
        </w:tc>
        <w:tc>
          <w:tcPr>
            <w:tcW w:type="dxa" w:w="2412"/>
            <w:shd w:val="clear" w:color="auto" w:fill="1F3FA8"/>
            <w:tcMar>
              <w:top w:w="80" w:type="dxa"/>
              <w:left w:w="80" w:type="dxa"/>
              <w:bottom w:w="80" w:type="dxa"/>
              <w:right w:w="80" w:type="dxa"/>
            </w:tcMar>
          </w:tcPr>
          <w:p>
            <w:pPr>
              <w:jc w:val="right"/>
            </w:pPr>
            <w:r/>
            <w:r>
              <w:rPr>
                <w:b/>
                <w:color w:val="FFFFFF"/>
                <w:sz w:val="19"/>
              </w:rPr>
              <w:t>Tag</w:t>
            </w:r>
          </w:p>
        </w:tc>
        <w:tc>
          <w:tcPr>
            <w:tcW w:type="dxa" w:w="2412"/>
            <w:shd w:val="clear" w:color="auto" w:fill="1F3FA8"/>
            <w:tcMar>
              <w:top w:w="80" w:type="dxa"/>
              <w:left w:w="80" w:type="dxa"/>
              <w:bottom w:w="80" w:type="dxa"/>
              <w:right w:w="80" w:type="dxa"/>
            </w:tcMar>
          </w:tcPr>
          <w:p>
            <w:pPr>
              <w:jc w:val="right"/>
            </w:pPr>
            <w:r/>
            <w:r>
              <w:rPr>
                <w:b/>
                <w:color w:val="FFFFFF"/>
                <w:sz w:val="19"/>
              </w:rPr>
              <w:t>Source</w:t>
            </w:r>
          </w:p>
        </w:tc>
      </w:tr>
      <w:tr>
        <w:tc>
          <w:tcPr>
            <w:tcW w:type="dxa" w:w="2412"/>
            <w:shd w:val="clear" w:color="auto" w:fill="FFFFFF"/>
            <w:tcMar>
              <w:top w:w="80" w:type="dxa"/>
              <w:left w:w="80" w:type="dxa"/>
              <w:bottom w:w="80" w:type="dxa"/>
              <w:right w:w="80" w:type="dxa"/>
            </w:tcMar>
          </w:tcPr>
          <w:p>
            <w:r/>
            <w:r>
              <w:rPr>
                <w:color w:val="222222"/>
                <w:sz w:val="19"/>
              </w:rPr>
              <w:t>Diluted shares outstanding</w:t>
            </w:r>
          </w:p>
        </w:tc>
        <w:tc>
          <w:tcPr>
            <w:tcW w:type="dxa" w:w="2412"/>
            <w:shd w:val="clear" w:color="auto" w:fill="FFFFFF"/>
            <w:tcMar>
              <w:top w:w="80" w:type="dxa"/>
              <w:left w:w="80" w:type="dxa"/>
              <w:bottom w:w="80" w:type="dxa"/>
              <w:right w:w="80" w:type="dxa"/>
            </w:tcMar>
          </w:tcPr>
          <w:p>
            <w:pPr>
              <w:jc w:val="right"/>
            </w:pPr>
            <w:r/>
            <w:r>
              <w:rPr>
                <w:b/>
                <w:color w:val="222222"/>
                <w:sz w:val="19"/>
              </w:rPr>
              <w:t>~914m</w:t>
            </w:r>
            <w:r>
              <w:rPr>
                <w:color w:val="222222"/>
                <w:sz w:val="19"/>
              </w:rPr>
              <w:t xml:space="preserve"> (Q1 FY26); 913m FY25 avg</w:t>
            </w:r>
          </w:p>
        </w:tc>
        <w:tc>
          <w:tcPr>
            <w:tcW w:type="dxa" w:w="2412"/>
            <w:shd w:val="clear" w:color="auto" w:fill="FFFFFF"/>
            <w:tcMar>
              <w:top w:w="80" w:type="dxa"/>
              <w:left w:w="80" w:type="dxa"/>
              <w:bottom w:w="80" w:type="dxa"/>
              <w:right w:w="80" w:type="dxa"/>
            </w:tcMar>
          </w:tcPr>
          <w:p>
            <w:pPr>
              <w:jc w:val="right"/>
            </w:pPr>
            <w:r/>
            <w:r>
              <w:rPr>
                <w:color w:val="222222"/>
                <w:sz w:val="19"/>
              </w:rPr>
              <w:t>HARD</w:t>
            </w:r>
          </w:p>
        </w:tc>
        <w:tc>
          <w:tcPr>
            <w:tcW w:type="dxa" w:w="2412"/>
            <w:shd w:val="clear" w:color="auto" w:fill="FFFFFF"/>
            <w:tcMar>
              <w:top w:w="80" w:type="dxa"/>
              <w:left w:w="80" w:type="dxa"/>
              <w:bottom w:w="80" w:type="dxa"/>
              <w:right w:w="80" w:type="dxa"/>
            </w:tcMar>
          </w:tcPr>
          <w:p>
            <w:pPr>
              <w:jc w:val="right"/>
            </w:pPr>
            <w:r/>
            <w:r>
              <w:rPr>
                <w:color w:val="222222"/>
                <w:sz w:val="19"/>
              </w:rPr>
              <w:t>10-Q 2026-04-24; 10-K 2026-02-06</w:t>
            </w:r>
          </w:p>
        </w:tc>
      </w:tr>
      <w:tr>
        <w:tc>
          <w:tcPr>
            <w:tcW w:type="dxa" w:w="2412"/>
            <w:shd w:val="clear" w:color="auto" w:fill="F2F2F2"/>
            <w:tcMar>
              <w:top w:w="80" w:type="dxa"/>
              <w:left w:w="80" w:type="dxa"/>
              <w:bottom w:w="80" w:type="dxa"/>
              <w:right w:w="80" w:type="dxa"/>
            </w:tcMar>
          </w:tcPr>
          <w:p>
            <w:r/>
            <w:r>
              <w:rPr>
                <w:color w:val="222222"/>
                <w:sz w:val="19"/>
              </w:rPr>
              <w:t>Effective tax rate</w:t>
            </w:r>
          </w:p>
        </w:tc>
        <w:tc>
          <w:tcPr>
            <w:tcW w:type="dxa" w:w="2412"/>
            <w:shd w:val="clear" w:color="auto" w:fill="F2F2F2"/>
            <w:tcMar>
              <w:top w:w="80" w:type="dxa"/>
              <w:left w:w="80" w:type="dxa"/>
              <w:bottom w:w="80" w:type="dxa"/>
              <w:right w:w="80" w:type="dxa"/>
            </w:tcMar>
          </w:tcPr>
          <w:p>
            <w:pPr>
              <w:jc w:val="right"/>
            </w:pPr>
            <w:r/>
            <w:r>
              <w:rPr>
                <w:b/>
                <w:color w:val="222222"/>
                <w:sz w:val="19"/>
              </w:rPr>
              <w:t>10% Q1 FY26</w:t>
            </w:r>
            <w:r>
              <w:rPr>
                <w:color w:val="222222"/>
                <w:sz w:val="19"/>
              </w:rPr>
              <w:t xml:space="preserve">; guided </w:t>
            </w:r>
            <w:r>
              <w:rPr>
                <w:b/>
                <w:color w:val="222222"/>
                <w:sz w:val="19"/>
              </w:rPr>
              <w:t>13-14% 2026</w:t>
            </w:r>
          </w:p>
        </w:tc>
        <w:tc>
          <w:tcPr>
            <w:tcW w:type="dxa" w:w="2412"/>
            <w:shd w:val="clear" w:color="auto" w:fill="F2F2F2"/>
            <w:tcMar>
              <w:top w:w="80" w:type="dxa"/>
              <w:left w:w="80" w:type="dxa"/>
              <w:bottom w:w="80" w:type="dxa"/>
              <w:right w:w="80" w:type="dxa"/>
            </w:tcMar>
          </w:tcPr>
          <w:p>
            <w:pPr>
              <w:jc w:val="right"/>
            </w:pPr>
            <w:r/>
            <w:r>
              <w:rPr>
                <w:color w:val="222222"/>
                <w:sz w:val="19"/>
              </w:rPr>
              <w:t>HARD</w:t>
            </w:r>
          </w:p>
        </w:tc>
        <w:tc>
          <w:tcPr>
            <w:tcW w:type="dxa" w:w="2412"/>
            <w:shd w:val="clear" w:color="auto" w:fill="F2F2F2"/>
            <w:tcMar>
              <w:top w:w="80" w:type="dxa"/>
              <w:left w:w="80" w:type="dxa"/>
              <w:bottom w:w="80" w:type="dxa"/>
              <w:right w:w="80" w:type="dxa"/>
            </w:tcMar>
          </w:tcPr>
          <w:p>
            <w:pPr>
              <w:jc w:val="right"/>
            </w:pPr>
            <w:r/>
            <w:r>
              <w:rPr>
                <w:color w:val="222222"/>
                <w:sz w:val="19"/>
              </w:rPr>
              <w:t>10-Q 2026-04-24; Q3 FY25 call (2025-10-22)</w:t>
            </w:r>
          </w:p>
        </w:tc>
      </w:tr>
      <w:tr>
        <w:tc>
          <w:tcPr>
            <w:tcW w:type="dxa" w:w="2412"/>
            <w:shd w:val="clear" w:color="auto" w:fill="FFFFFF"/>
            <w:tcMar>
              <w:top w:w="80" w:type="dxa"/>
              <w:left w:w="80" w:type="dxa"/>
              <w:bottom w:w="80" w:type="dxa"/>
              <w:right w:w="80" w:type="dxa"/>
            </w:tcMar>
          </w:tcPr>
          <w:p>
            <w:r/>
            <w:r>
              <w:rPr>
                <w:color w:val="222222"/>
                <w:sz w:val="19"/>
              </w:rPr>
              <w:t>Buyback pace</w:t>
            </w:r>
          </w:p>
        </w:tc>
        <w:tc>
          <w:tcPr>
            <w:tcW w:type="dxa" w:w="2412"/>
            <w:shd w:val="clear" w:color="auto" w:fill="FFFFFF"/>
            <w:tcMar>
              <w:top w:w="80" w:type="dxa"/>
              <w:left w:w="80" w:type="dxa"/>
              <w:bottom w:w="80" w:type="dxa"/>
              <w:right w:w="80" w:type="dxa"/>
            </w:tcMar>
          </w:tcPr>
          <w:p>
            <w:pPr>
              <w:jc w:val="right"/>
            </w:pPr>
            <w:r/>
            <w:r>
              <w:rPr>
                <w:color w:val="222222"/>
                <w:sz w:val="19"/>
              </w:rPr>
              <w:t xml:space="preserve">Q1 FY26 repurchases only </w:t>
            </w:r>
            <w:r>
              <w:rPr>
                <w:b/>
                <w:color w:val="222222"/>
                <w:sz w:val="19"/>
              </w:rPr>
              <w:t>$158m</w:t>
            </w:r>
            <w:r>
              <w:rPr>
                <w:color w:val="222222"/>
                <w:sz w:val="19"/>
              </w:rPr>
              <w:t xml:space="preserve"> (vs $653m yr ago)</w:t>
            </w:r>
          </w:p>
        </w:tc>
        <w:tc>
          <w:tcPr>
            <w:tcW w:type="dxa" w:w="2412"/>
            <w:shd w:val="clear" w:color="auto" w:fill="FFFFFF"/>
            <w:tcMar>
              <w:top w:w="80" w:type="dxa"/>
              <w:left w:w="80" w:type="dxa"/>
              <w:bottom w:w="80" w:type="dxa"/>
              <w:right w:w="80" w:type="dxa"/>
            </w:tcMar>
          </w:tcPr>
          <w:p>
            <w:pPr>
              <w:jc w:val="right"/>
            </w:pPr>
            <w:r/>
            <w:r>
              <w:rPr>
                <w:color w:val="222222"/>
                <w:sz w:val="19"/>
              </w:rPr>
              <w:t>HARD</w:t>
            </w:r>
          </w:p>
        </w:tc>
        <w:tc>
          <w:tcPr>
            <w:tcW w:type="dxa" w:w="2412"/>
            <w:shd w:val="clear" w:color="auto" w:fill="FFFFFF"/>
            <w:tcMar>
              <w:top w:w="80" w:type="dxa"/>
              <w:left w:w="80" w:type="dxa"/>
              <w:bottom w:w="80" w:type="dxa"/>
              <w:right w:w="80" w:type="dxa"/>
            </w:tcMar>
          </w:tcPr>
          <w:p>
            <w:pPr>
              <w:jc w:val="right"/>
            </w:pPr>
            <w:r/>
            <w:r>
              <w:rPr>
                <w:color w:val="222222"/>
                <w:sz w:val="19"/>
              </w:rPr>
              <w:t>10-Q 2026-04-24</w:t>
            </w:r>
          </w:p>
        </w:tc>
      </w:tr>
      <w:tr>
        <w:tc>
          <w:tcPr>
            <w:tcW w:type="dxa" w:w="2412"/>
            <w:shd w:val="clear" w:color="auto" w:fill="F2F2F2"/>
            <w:tcMar>
              <w:top w:w="80" w:type="dxa"/>
              <w:left w:w="80" w:type="dxa"/>
              <w:bottom w:w="80" w:type="dxa"/>
              <w:right w:w="80" w:type="dxa"/>
            </w:tcMar>
          </w:tcPr>
          <w:p>
            <w:r/>
            <w:r>
              <w:rPr>
                <w:color w:val="222222"/>
                <w:sz w:val="19"/>
              </w:rPr>
              <w:t>Capital return</w:t>
            </w:r>
          </w:p>
        </w:tc>
        <w:tc>
          <w:tcPr>
            <w:tcW w:type="dxa" w:w="2412"/>
            <w:shd w:val="clear" w:color="auto" w:fill="F2F2F2"/>
            <w:tcMar>
              <w:top w:w="80" w:type="dxa"/>
              <w:left w:w="80" w:type="dxa"/>
              <w:bottom w:w="80" w:type="dxa"/>
              <w:right w:w="80" w:type="dxa"/>
            </w:tcMar>
          </w:tcPr>
          <w:p>
            <w:pPr>
              <w:jc w:val="right"/>
            </w:pPr>
            <w:r/>
            <w:r>
              <w:rPr>
                <w:color w:val="222222"/>
                <w:sz w:val="19"/>
              </w:rPr>
              <w:t>~$6.0bn returned TTM; dividends ~$1.29bn/qtr</w:t>
            </w:r>
          </w:p>
        </w:tc>
        <w:tc>
          <w:tcPr>
            <w:tcW w:type="dxa" w:w="2412"/>
            <w:shd w:val="clear" w:color="auto" w:fill="F2F2F2"/>
            <w:tcMar>
              <w:top w:w="80" w:type="dxa"/>
              <w:left w:w="80" w:type="dxa"/>
              <w:bottom w:w="80" w:type="dxa"/>
              <w:right w:w="80" w:type="dxa"/>
            </w:tcMar>
          </w:tcPr>
          <w:p>
            <w:pPr>
              <w:jc w:val="right"/>
            </w:pPr>
            <w:r/>
            <w:r>
              <w:rPr>
                <w:color w:val="222222"/>
                <w:sz w:val="19"/>
              </w:rPr>
              <w:t>HARD</w:t>
            </w:r>
          </w:p>
        </w:tc>
        <w:tc>
          <w:tcPr>
            <w:tcW w:type="dxa" w:w="2412"/>
            <w:shd w:val="clear" w:color="auto" w:fill="F2F2F2"/>
            <w:tcMar>
              <w:top w:w="80" w:type="dxa"/>
              <w:left w:w="80" w:type="dxa"/>
              <w:bottom w:w="80" w:type="dxa"/>
              <w:right w:w="80" w:type="dxa"/>
            </w:tcMar>
          </w:tcPr>
          <w:p>
            <w:pPr>
              <w:jc w:val="right"/>
            </w:pPr>
            <w:r/>
            <w:r>
              <w:rPr>
                <w:color w:val="222222"/>
                <w:sz w:val="19"/>
              </w:rPr>
              <w:t>10-Q; Q1 FY26 call</w:t>
            </w:r>
          </w:p>
        </w:tc>
      </w:tr>
    </w:tbl>
    <w:p>
      <w:pPr>
        <w:spacing w:after="80"/>
      </w:pPr>
    </w:p>
    <w:p>
      <w:pPr>
        <w:spacing w:after="120"/>
      </w:pPr>
      <w:r>
        <w:rPr>
          <w:b/>
          <w:color w:val="222222"/>
          <w:sz w:val="21"/>
        </w:rPr>
        <w:t>Buyback note — a drag, not a tailwind, near-term.</w:t>
      </w:r>
      <w:r>
        <w:rPr>
          <w:color w:val="222222"/>
          <w:sz w:val="21"/>
        </w:rPr>
        <w:t xml:space="preserve"> TXN's repurchases have collapsed (Q1 FY26 $158m vs $653m a year prior). Free cash flow is earmarked for the dividend and the pending </w:t>
      </w:r>
      <w:r>
        <w:rPr>
          <w:b/>
          <w:color w:val="222222"/>
          <w:sz w:val="21"/>
        </w:rPr>
        <w:t>~$7.5bn Silicon Labs acquisition</w:t>
      </w:r>
      <w:r>
        <w:rPr>
          <w:color w:val="222222"/>
          <w:sz w:val="21"/>
        </w:rPr>
        <w:t xml:space="preserve">; UBS flags TXN may need to </w:t>
      </w:r>
      <w:r>
        <w:rPr>
          <w:i/>
          <w:color w:val="222222"/>
          <w:sz w:val="21"/>
        </w:rPr>
        <w:t>take on debt</w:t>
      </w:r>
      <w:r>
        <w:rPr>
          <w:color w:val="222222"/>
          <w:sz w:val="21"/>
        </w:rPr>
        <w:t xml:space="preserve"> to fund the dividend, leaving "not that much headroom for buybacks" [Arya callback, 2026-04-23]; UBS/Arcuri similarly noted Chips Act grant restrictions exist but are "not a factor" management is prioritising [Arcuri callback, 2026-04-23]. </w:t>
      </w:r>
      <w:r>
        <w:rPr>
          <w:b/>
          <w:color w:val="222222"/>
          <w:sz w:val="21"/>
        </w:rPr>
        <w:t>We therefore hold diluted share count roughly flat (~914m) in the bridge — we do NOT credit buyback-driven EPS accretion to the 800V thesis.</w:t>
      </w:r>
      <w:r>
        <w:rPr>
          <w:color w:val="222222"/>
          <w:sz w:val="21"/>
        </w:rPr>
        <w:t xml:space="preserve"> This is conservative and defensible on the buyback axis; if the FCF inflection restarts buybacks, it is upside to the per-share math but is a capital-allocation story, not an 800V story. Tax held at </w:t>
      </w:r>
      <w:r>
        <w:rPr>
          <w:b/>
          <w:color w:val="222222"/>
          <w:sz w:val="21"/>
        </w:rPr>
        <w:t>13.5%</w:t>
      </w:r>
      <w:r>
        <w:rPr>
          <w:color w:val="222222"/>
          <w:sz w:val="21"/>
        </w:rPr>
        <w:t xml:space="preserve"> (midpoint of guide) — ESTIMATE anchored to HARD guide.</w:t>
      </w:r>
    </w:p>
    <w:p>
      <w:pPr>
        <w:spacing w:after="120"/>
      </w:pPr>
      <w:r>
        <w:rPr>
          <w:b/>
          <w:color w:val="222222"/>
          <w:sz w:val="21"/>
        </w:rPr>
        <w:t>Flagged asymmetry (post adversarial review): flat share count is NOT conservative on the acquisition axis.</w:t>
      </w:r>
      <w:r>
        <w:rPr>
          <w:color w:val="222222"/>
          <w:sz w:val="21"/>
        </w:rPr>
        <w:t xml:space="preserve"> The pending ~$7.5bn Silicon Labs deal (noted as a bear risk in §4) could add shares and/or debt depending on funding mix, which is not modeled here. If SLAB is partly stock-funded, the true diluted count is higher than 914m and per-share accretion is lower than shown in every scenario above. The 914m assumption is conservative on buybacks but potentially optimistic on M&amp;A dilution — net effect on the bridge is unsigned without knowing SLAB's funding structure. Treat this as an open risk to the per-share math, not something the bull/bear range already captures.</w:t>
      </w:r>
    </w:p>
    <w:p>
      <w:pPr>
        <w:pStyle w:val="Heading3"/>
        <w:spacing w:before="160" w:after="120"/>
      </w:pPr>
      <w:r>
        <w:rPr>
          <w:b/>
          <w:color w:val="222222"/>
          <w:sz w:val="23"/>
        </w:rPr>
        <w:t>3.4 The bridge (formula + tagging)</w:t>
      </w:r>
    </w:p>
    <w:p>
      <w:pPr>
        <w:spacing w:after="120"/>
      </w:pPr>
      <w:r>
        <w:rPr>
          <w:rFonts w:ascii="Consolas" w:hAnsi="Consolas"/>
          <w:color w:val="222222"/>
          <w:sz w:val="20"/>
        </w:rPr>
        <w:t>Incremental EPS = Incremental DC/800V revenue × incremental OP margin × (1 − tax) ÷ diluted shares</w:t>
      </w:r>
    </w:p>
    <w:p>
      <w:pPr>
        <w:spacing w:after="120"/>
      </w:pPr>
      <w:r>
        <w:rPr>
          <w:rFonts w:ascii="Consolas" w:hAnsi="Consolas"/>
          <w:color w:val="222222"/>
          <w:sz w:val="20"/>
        </w:rPr>
        <w:t>= ΔRev × OPM × (1 − 0.135) ÷ 914m</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1F3FA8"/>
            <w:tcMar>
              <w:top w:w="80" w:type="dxa"/>
              <w:left w:w="80" w:type="dxa"/>
              <w:bottom w:w="80" w:type="dxa"/>
              <w:right w:w="80" w:type="dxa"/>
            </w:tcMar>
          </w:tcPr>
          <w:p>
            <w:r/>
            <w:r>
              <w:rPr>
                <w:b/>
                <w:color w:val="FFFFFF"/>
                <w:sz w:val="19"/>
              </w:rPr>
              <w:t>Input</w:t>
            </w:r>
          </w:p>
        </w:tc>
        <w:tc>
          <w:tcPr>
            <w:tcW w:type="dxa" w:w="4824"/>
            <w:shd w:val="clear" w:color="auto" w:fill="1F3FA8"/>
            <w:tcMar>
              <w:top w:w="80" w:type="dxa"/>
              <w:left w:w="80" w:type="dxa"/>
              <w:bottom w:w="80" w:type="dxa"/>
              <w:right w:w="80" w:type="dxa"/>
            </w:tcMar>
          </w:tcPr>
          <w:p>
            <w:pPr>
              <w:jc w:val="right"/>
            </w:pPr>
            <w:r/>
            <w:r>
              <w:rPr>
                <w:b/>
                <w:color w:val="FFFFFF"/>
                <w:sz w:val="19"/>
              </w:rPr>
              <w:t>Tag</w:t>
            </w:r>
          </w:p>
        </w:tc>
      </w:tr>
      <w:tr>
        <w:tc>
          <w:tcPr>
            <w:tcW w:type="dxa" w:w="4824"/>
            <w:shd w:val="clear" w:color="auto" w:fill="FFFFFF"/>
            <w:tcMar>
              <w:top w:w="80" w:type="dxa"/>
              <w:left w:w="80" w:type="dxa"/>
              <w:bottom w:w="80" w:type="dxa"/>
              <w:right w:w="80" w:type="dxa"/>
            </w:tcMar>
          </w:tcPr>
          <w:p>
            <w:r/>
            <w:r>
              <w:rPr>
                <w:color w:val="222222"/>
                <w:sz w:val="19"/>
              </w:rPr>
              <w:t>Incremental DC/800V revenue</w:t>
            </w:r>
          </w:p>
        </w:tc>
        <w:tc>
          <w:tcPr>
            <w:tcW w:type="dxa" w:w="4824"/>
            <w:shd w:val="clear" w:color="auto" w:fill="FFFFFF"/>
            <w:tcMar>
              <w:top w:w="80" w:type="dxa"/>
              <w:left w:w="80" w:type="dxa"/>
              <w:bottom w:w="80" w:type="dxa"/>
              <w:right w:w="80" w:type="dxa"/>
            </w:tcMar>
          </w:tcPr>
          <w:p>
            <w:pPr>
              <w:jc w:val="right"/>
            </w:pPr>
            <w:r/>
            <w:r>
              <w:rPr>
                <w:b/>
                <w:color w:val="222222"/>
                <w:sz w:val="19"/>
              </w:rPr>
              <w:t>ESTIMATE</w:t>
            </w:r>
            <w:r>
              <w:rPr>
                <w:color w:val="222222"/>
                <w:sz w:val="19"/>
              </w:rPr>
              <w:t xml:space="preserve"> (interpolated off BofA/JPM HARD-cited total-DC arc; NOT 800V-isolated)</w:t>
            </w:r>
          </w:p>
        </w:tc>
      </w:tr>
      <w:tr>
        <w:tc>
          <w:tcPr>
            <w:tcW w:type="dxa" w:w="4824"/>
            <w:shd w:val="clear" w:color="auto" w:fill="F2F2F2"/>
            <w:tcMar>
              <w:top w:w="80" w:type="dxa"/>
              <w:left w:w="80" w:type="dxa"/>
              <w:bottom w:w="80" w:type="dxa"/>
              <w:right w:w="80" w:type="dxa"/>
            </w:tcMar>
          </w:tcPr>
          <w:p>
            <w:r/>
            <w:r>
              <w:rPr>
                <w:color w:val="222222"/>
                <w:sz w:val="19"/>
              </w:rPr>
              <w:t>Incremental OP margin</w:t>
            </w:r>
          </w:p>
        </w:tc>
        <w:tc>
          <w:tcPr>
            <w:tcW w:type="dxa" w:w="4824"/>
            <w:shd w:val="clear" w:color="auto" w:fill="F2F2F2"/>
            <w:tcMar>
              <w:top w:w="80" w:type="dxa"/>
              <w:left w:w="80" w:type="dxa"/>
              <w:bottom w:w="80" w:type="dxa"/>
              <w:right w:w="80" w:type="dxa"/>
            </w:tcMar>
          </w:tcPr>
          <w:p>
            <w:pPr>
              <w:jc w:val="right"/>
            </w:pPr>
            <w:r/>
            <w:r>
              <w:rPr>
                <w:b/>
                <w:color w:val="222222"/>
                <w:sz w:val="19"/>
              </w:rPr>
              <w:t>PARTIAL/ESTIMATE</w:t>
            </w:r>
            <w:r>
              <w:rPr>
                <w:color w:val="222222"/>
                <w:sz w:val="19"/>
              </w:rPr>
              <w:t xml:space="preserve"> (base = HARD Q1 FY26 Analog 41.7%; bull/bear = own flex)</w:t>
            </w:r>
          </w:p>
        </w:tc>
      </w:tr>
      <w:tr>
        <w:tc>
          <w:tcPr>
            <w:tcW w:type="dxa" w:w="4824"/>
            <w:shd w:val="clear" w:color="auto" w:fill="FFFFFF"/>
            <w:tcMar>
              <w:top w:w="80" w:type="dxa"/>
              <w:left w:w="80" w:type="dxa"/>
              <w:bottom w:w="80" w:type="dxa"/>
              <w:right w:w="80" w:type="dxa"/>
            </w:tcMar>
          </w:tcPr>
          <w:p>
            <w:r/>
            <w:r>
              <w:rPr>
                <w:color w:val="222222"/>
                <w:sz w:val="19"/>
              </w:rPr>
              <w:t>Tax rate 13.5%</w:t>
            </w:r>
          </w:p>
        </w:tc>
        <w:tc>
          <w:tcPr>
            <w:tcW w:type="dxa" w:w="4824"/>
            <w:shd w:val="clear" w:color="auto" w:fill="FFFFFF"/>
            <w:tcMar>
              <w:top w:w="80" w:type="dxa"/>
              <w:left w:w="80" w:type="dxa"/>
              <w:bottom w:w="80" w:type="dxa"/>
              <w:right w:w="80" w:type="dxa"/>
            </w:tcMar>
          </w:tcPr>
          <w:p>
            <w:pPr>
              <w:jc w:val="right"/>
            </w:pPr>
            <w:r/>
            <w:r>
              <w:rPr>
                <w:b/>
                <w:color w:val="222222"/>
                <w:sz w:val="19"/>
              </w:rPr>
              <w:t>PARTIAL</w:t>
            </w:r>
            <w:r>
              <w:rPr>
                <w:color w:val="222222"/>
                <w:sz w:val="19"/>
              </w:rPr>
              <w:t xml:space="preserve"> (midpoint of HARD 13-14% guide)</w:t>
            </w:r>
          </w:p>
        </w:tc>
      </w:tr>
      <w:tr>
        <w:tc>
          <w:tcPr>
            <w:tcW w:type="dxa" w:w="4824"/>
            <w:shd w:val="clear" w:color="auto" w:fill="F2F2F2"/>
            <w:tcMar>
              <w:top w:w="80" w:type="dxa"/>
              <w:left w:w="80" w:type="dxa"/>
              <w:bottom w:w="80" w:type="dxa"/>
              <w:right w:w="80" w:type="dxa"/>
            </w:tcMar>
          </w:tcPr>
          <w:p>
            <w:r/>
            <w:r>
              <w:rPr>
                <w:color w:val="222222"/>
                <w:sz w:val="19"/>
              </w:rPr>
              <w:t>Diluted shares 914m</w:t>
            </w:r>
          </w:p>
        </w:tc>
        <w:tc>
          <w:tcPr>
            <w:tcW w:type="dxa" w:w="4824"/>
            <w:shd w:val="clear" w:color="auto" w:fill="F2F2F2"/>
            <w:tcMar>
              <w:top w:w="80" w:type="dxa"/>
              <w:left w:w="80" w:type="dxa"/>
              <w:bottom w:w="80" w:type="dxa"/>
              <w:right w:w="80" w:type="dxa"/>
            </w:tcMar>
          </w:tcPr>
          <w:p>
            <w:pPr>
              <w:jc w:val="right"/>
            </w:pPr>
            <w:r/>
            <w:r>
              <w:rPr>
                <w:b/>
                <w:color w:val="222222"/>
                <w:sz w:val="19"/>
              </w:rPr>
              <w:t>HARD</w:t>
            </w:r>
            <w:r>
              <w:rPr>
                <w:color w:val="222222"/>
                <w:sz w:val="19"/>
              </w:rPr>
              <w:t xml:space="preserve"> (10-Q) — held flat, no buyback credit (ESTIMATE choice, conservative)</w:t>
            </w:r>
          </w:p>
        </w:tc>
      </w:tr>
    </w:tbl>
    <w:p>
      <w:pPr>
        <w:spacing w:after="80"/>
      </w:pPr>
    </w:p>
    <w:p>
      <w:pPr>
        <w:pStyle w:val="Heading3"/>
        <w:spacing w:before="160" w:after="120"/>
      </w:pPr>
      <w:r>
        <w:rPr>
          <w:b/>
          <w:color w:val="222222"/>
          <w:sz w:val="23"/>
        </w:rPr>
        <w:t>3.5 Bull / Base / Bear accretion table</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1F3FA8"/>
            <w:tcMar>
              <w:top w:w="80" w:type="dxa"/>
              <w:left w:w="80" w:type="dxa"/>
              <w:bottom w:w="80" w:type="dxa"/>
              <w:right w:w="80" w:type="dxa"/>
            </w:tcMar>
          </w:tcPr>
          <w:p>
            <w:r/>
            <w:r>
              <w:rPr>
                <w:b/>
                <w:color w:val="FFFFFF"/>
                <w:sz w:val="19"/>
              </w:rPr>
              <w:t>Scenario</w:t>
            </w:r>
          </w:p>
        </w:tc>
        <w:tc>
          <w:tcPr>
            <w:tcW w:type="dxa" w:w="1930"/>
            <w:shd w:val="clear" w:color="auto" w:fill="1F3FA8"/>
            <w:tcMar>
              <w:top w:w="80" w:type="dxa"/>
              <w:left w:w="80" w:type="dxa"/>
              <w:bottom w:w="80" w:type="dxa"/>
              <w:right w:w="80" w:type="dxa"/>
            </w:tcMar>
          </w:tcPr>
          <w:p>
            <w:pPr>
              <w:jc w:val="right"/>
            </w:pPr>
            <w:r/>
            <w:r>
              <w:rPr>
                <w:b/>
                <w:color w:val="FFFFFF"/>
                <w:sz w:val="19"/>
              </w:rPr>
              <w:t>Incr. DC/800V rev</w:t>
            </w:r>
          </w:p>
        </w:tc>
        <w:tc>
          <w:tcPr>
            <w:tcW w:type="dxa" w:w="1930"/>
            <w:shd w:val="clear" w:color="auto" w:fill="1F3FA8"/>
            <w:tcMar>
              <w:top w:w="80" w:type="dxa"/>
              <w:left w:w="80" w:type="dxa"/>
              <w:bottom w:w="80" w:type="dxa"/>
              <w:right w:w="80" w:type="dxa"/>
            </w:tcMar>
          </w:tcPr>
          <w:p>
            <w:pPr>
              <w:jc w:val="right"/>
            </w:pPr>
            <w:r/>
            <w:r>
              <w:rPr>
                <w:b/>
                <w:color w:val="FFFFFF"/>
                <w:sz w:val="19"/>
              </w:rPr>
              <w:t>Incr. OP margin</w:t>
            </w:r>
          </w:p>
        </w:tc>
        <w:tc>
          <w:tcPr>
            <w:tcW w:type="dxa" w:w="1930"/>
            <w:shd w:val="clear" w:color="auto" w:fill="1F3FA8"/>
            <w:tcMar>
              <w:top w:w="80" w:type="dxa"/>
              <w:left w:w="80" w:type="dxa"/>
              <w:bottom w:w="80" w:type="dxa"/>
              <w:right w:w="80" w:type="dxa"/>
            </w:tcMar>
          </w:tcPr>
          <w:p>
            <w:pPr>
              <w:jc w:val="right"/>
            </w:pPr>
            <w:r/>
            <w:r>
              <w:rPr>
                <w:b/>
                <w:color w:val="FFFFFF"/>
                <w:sz w:val="19"/>
              </w:rPr>
              <w:t>**CY27 EPS accretion**</w:t>
            </w:r>
          </w:p>
        </w:tc>
        <w:tc>
          <w:tcPr>
            <w:tcW w:type="dxa" w:w="1930"/>
            <w:shd w:val="clear" w:color="auto" w:fill="1F3FA8"/>
            <w:tcMar>
              <w:top w:w="80" w:type="dxa"/>
              <w:left w:w="80" w:type="dxa"/>
              <w:bottom w:w="80" w:type="dxa"/>
              <w:right w:w="80" w:type="dxa"/>
            </w:tcMar>
          </w:tcPr>
          <w:p>
            <w:pPr>
              <w:jc w:val="right"/>
            </w:pPr>
            <w:r/>
            <w:r>
              <w:rPr>
                <w:b/>
                <w:color w:val="FFFFFF"/>
                <w:sz w:val="19"/>
              </w:rPr>
              <w:t>**CY28 EPS accretion**</w:t>
            </w:r>
          </w:p>
        </w:tc>
      </w:tr>
      <w:tr>
        <w:tc>
          <w:tcPr>
            <w:tcW w:type="dxa" w:w="1930"/>
            <w:shd w:val="clear" w:color="auto" w:fill="FFFFFF"/>
            <w:tcMar>
              <w:top w:w="80" w:type="dxa"/>
              <w:left w:w="80" w:type="dxa"/>
              <w:bottom w:w="80" w:type="dxa"/>
              <w:right w:w="80" w:type="dxa"/>
            </w:tcMar>
          </w:tcPr>
          <w:p>
            <w:r/>
            <w:r>
              <w:rPr>
                <w:b/>
                <w:color w:val="222222"/>
                <w:sz w:val="19"/>
              </w:rPr>
              <w:t>Bear</w:t>
            </w:r>
          </w:p>
        </w:tc>
        <w:tc>
          <w:tcPr>
            <w:tcW w:type="dxa" w:w="1930"/>
            <w:shd w:val="clear" w:color="auto" w:fill="FFFFFF"/>
            <w:tcMar>
              <w:top w:w="80" w:type="dxa"/>
              <w:left w:w="80" w:type="dxa"/>
              <w:bottom w:w="80" w:type="dxa"/>
              <w:right w:w="80" w:type="dxa"/>
            </w:tcMar>
          </w:tcPr>
          <w:p>
            <w:pPr>
              <w:jc w:val="right"/>
            </w:pPr>
            <w:r/>
            <w:r>
              <w:rPr>
                <w:color w:val="222222"/>
                <w:sz w:val="19"/>
              </w:rPr>
              <w:t>CY27 ~$1.5bn / CY28 ~$2.8bn</w:t>
            </w:r>
          </w:p>
        </w:tc>
        <w:tc>
          <w:tcPr>
            <w:tcW w:type="dxa" w:w="1930"/>
            <w:shd w:val="clear" w:color="auto" w:fill="FFFFFF"/>
            <w:tcMar>
              <w:top w:w="80" w:type="dxa"/>
              <w:left w:w="80" w:type="dxa"/>
              <w:bottom w:w="80" w:type="dxa"/>
              <w:right w:w="80" w:type="dxa"/>
            </w:tcMar>
          </w:tcPr>
          <w:p>
            <w:pPr>
              <w:jc w:val="right"/>
            </w:pPr>
            <w:r/>
            <w:r>
              <w:rPr>
                <w:color w:val="222222"/>
                <w:sz w:val="19"/>
              </w:rPr>
              <w:t>35%</w:t>
            </w:r>
          </w:p>
        </w:tc>
        <w:tc>
          <w:tcPr>
            <w:tcW w:type="dxa" w:w="1930"/>
            <w:shd w:val="clear" w:color="auto" w:fill="FFFFFF"/>
            <w:tcMar>
              <w:top w:w="80" w:type="dxa"/>
              <w:left w:w="80" w:type="dxa"/>
              <w:bottom w:w="80" w:type="dxa"/>
              <w:right w:w="80" w:type="dxa"/>
            </w:tcMar>
          </w:tcPr>
          <w:p>
            <w:pPr>
              <w:jc w:val="right"/>
            </w:pPr>
            <w:r/>
            <w:r>
              <w:rPr>
                <w:b/>
                <w:color w:val="222222"/>
                <w:sz w:val="19"/>
              </w:rPr>
              <w:t>+$0.50</w:t>
            </w:r>
          </w:p>
        </w:tc>
        <w:tc>
          <w:tcPr>
            <w:tcW w:type="dxa" w:w="1930"/>
            <w:shd w:val="clear" w:color="auto" w:fill="FFFFFF"/>
            <w:tcMar>
              <w:top w:w="80" w:type="dxa"/>
              <w:left w:w="80" w:type="dxa"/>
              <w:bottom w:w="80" w:type="dxa"/>
              <w:right w:w="80" w:type="dxa"/>
            </w:tcMar>
          </w:tcPr>
          <w:p>
            <w:pPr>
              <w:jc w:val="right"/>
            </w:pPr>
            <w:r/>
            <w:r>
              <w:rPr>
                <w:b/>
                <w:color w:val="222222"/>
                <w:sz w:val="19"/>
              </w:rPr>
              <w:t>+$0.93</w:t>
            </w:r>
          </w:p>
        </w:tc>
      </w:tr>
      <w:tr>
        <w:tc>
          <w:tcPr>
            <w:tcW w:type="dxa" w:w="1930"/>
            <w:shd w:val="clear" w:color="auto" w:fill="F2F2F2"/>
            <w:tcMar>
              <w:top w:w="80" w:type="dxa"/>
              <w:left w:w="80" w:type="dxa"/>
              <w:bottom w:w="80" w:type="dxa"/>
              <w:right w:w="80" w:type="dxa"/>
            </w:tcMar>
          </w:tcPr>
          <w:p>
            <w:r/>
            <w:r>
              <w:rPr>
                <w:b/>
                <w:color w:val="222222"/>
                <w:sz w:val="19"/>
              </w:rPr>
              <w:t>Base</w:t>
            </w:r>
          </w:p>
        </w:tc>
        <w:tc>
          <w:tcPr>
            <w:tcW w:type="dxa" w:w="1930"/>
            <w:shd w:val="clear" w:color="auto" w:fill="F2F2F2"/>
            <w:tcMar>
              <w:top w:w="80" w:type="dxa"/>
              <w:left w:w="80" w:type="dxa"/>
              <w:bottom w:w="80" w:type="dxa"/>
              <w:right w:w="80" w:type="dxa"/>
            </w:tcMar>
          </w:tcPr>
          <w:p>
            <w:pPr>
              <w:jc w:val="right"/>
            </w:pPr>
            <w:r/>
            <w:r>
              <w:rPr>
                <w:color w:val="222222"/>
                <w:sz w:val="19"/>
              </w:rPr>
              <w:t>CY27 ~$2.4bn / CY28 ~$4.5bn*</w:t>
            </w:r>
          </w:p>
        </w:tc>
        <w:tc>
          <w:tcPr>
            <w:tcW w:type="dxa" w:w="1930"/>
            <w:shd w:val="clear" w:color="auto" w:fill="F2F2F2"/>
            <w:tcMar>
              <w:top w:w="80" w:type="dxa"/>
              <w:left w:w="80" w:type="dxa"/>
              <w:bottom w:w="80" w:type="dxa"/>
              <w:right w:w="80" w:type="dxa"/>
            </w:tcMar>
          </w:tcPr>
          <w:p>
            <w:pPr>
              <w:jc w:val="right"/>
            </w:pPr>
            <w:r/>
            <w:r>
              <w:rPr>
                <w:color w:val="222222"/>
                <w:sz w:val="19"/>
              </w:rPr>
              <w:t>42%</w:t>
            </w:r>
          </w:p>
        </w:tc>
        <w:tc>
          <w:tcPr>
            <w:tcW w:type="dxa" w:w="1930"/>
            <w:shd w:val="clear" w:color="auto" w:fill="F2F2F2"/>
            <w:tcMar>
              <w:top w:w="80" w:type="dxa"/>
              <w:left w:w="80" w:type="dxa"/>
              <w:bottom w:w="80" w:type="dxa"/>
              <w:right w:w="80" w:type="dxa"/>
            </w:tcMar>
          </w:tcPr>
          <w:p>
            <w:pPr>
              <w:jc w:val="right"/>
            </w:pPr>
            <w:r/>
            <w:r>
              <w:rPr>
                <w:b/>
                <w:color w:val="222222"/>
                <w:sz w:val="19"/>
              </w:rPr>
              <w:t>+$0.95</w:t>
            </w:r>
          </w:p>
        </w:tc>
        <w:tc>
          <w:tcPr>
            <w:tcW w:type="dxa" w:w="1930"/>
            <w:shd w:val="clear" w:color="auto" w:fill="F2F2F2"/>
            <w:tcMar>
              <w:top w:w="80" w:type="dxa"/>
              <w:left w:w="80" w:type="dxa"/>
              <w:bottom w:w="80" w:type="dxa"/>
              <w:right w:w="80" w:type="dxa"/>
            </w:tcMar>
          </w:tcPr>
          <w:p>
            <w:pPr>
              <w:jc w:val="right"/>
            </w:pPr>
            <w:r/>
            <w:r>
              <w:rPr>
                <w:b/>
                <w:color w:val="222222"/>
                <w:sz w:val="19"/>
              </w:rPr>
              <w:t>+$1.79</w:t>
            </w:r>
          </w:p>
        </w:tc>
      </w:tr>
      <w:tr>
        <w:tc>
          <w:tcPr>
            <w:tcW w:type="dxa" w:w="1930"/>
            <w:shd w:val="clear" w:color="auto" w:fill="FFFFFF"/>
            <w:tcMar>
              <w:top w:w="80" w:type="dxa"/>
              <w:left w:w="80" w:type="dxa"/>
              <w:bottom w:w="80" w:type="dxa"/>
              <w:right w:w="80" w:type="dxa"/>
            </w:tcMar>
          </w:tcPr>
          <w:p>
            <w:r/>
            <w:r>
              <w:rPr>
                <w:b/>
                <w:color w:val="222222"/>
                <w:sz w:val="19"/>
              </w:rPr>
              <w:t>Bull</w:t>
            </w:r>
          </w:p>
        </w:tc>
        <w:tc>
          <w:tcPr>
            <w:tcW w:type="dxa" w:w="1930"/>
            <w:shd w:val="clear" w:color="auto" w:fill="FFFFFF"/>
            <w:tcMar>
              <w:top w:w="80" w:type="dxa"/>
              <w:left w:w="80" w:type="dxa"/>
              <w:bottom w:w="80" w:type="dxa"/>
              <w:right w:w="80" w:type="dxa"/>
            </w:tcMar>
          </w:tcPr>
          <w:p>
            <w:pPr>
              <w:jc w:val="right"/>
            </w:pPr>
            <w:r/>
            <w:r>
              <w:rPr>
                <w:color w:val="222222"/>
                <w:sz w:val="19"/>
              </w:rPr>
              <w:t>CY27 ~$3.3bn / CY28 ~$6.0bn</w:t>
            </w:r>
          </w:p>
        </w:tc>
        <w:tc>
          <w:tcPr>
            <w:tcW w:type="dxa" w:w="1930"/>
            <w:shd w:val="clear" w:color="auto" w:fill="FFFFFF"/>
            <w:tcMar>
              <w:top w:w="80" w:type="dxa"/>
              <w:left w:w="80" w:type="dxa"/>
              <w:bottom w:w="80" w:type="dxa"/>
              <w:right w:w="80" w:type="dxa"/>
            </w:tcMar>
          </w:tcPr>
          <w:p>
            <w:pPr>
              <w:jc w:val="right"/>
            </w:pPr>
            <w:r/>
            <w:r>
              <w:rPr>
                <w:color w:val="222222"/>
                <w:sz w:val="19"/>
              </w:rPr>
              <w:t>50%</w:t>
            </w:r>
          </w:p>
        </w:tc>
        <w:tc>
          <w:tcPr>
            <w:tcW w:type="dxa" w:w="1930"/>
            <w:shd w:val="clear" w:color="auto" w:fill="FFFFFF"/>
            <w:tcMar>
              <w:top w:w="80" w:type="dxa"/>
              <w:left w:w="80" w:type="dxa"/>
              <w:bottom w:w="80" w:type="dxa"/>
              <w:right w:w="80" w:type="dxa"/>
            </w:tcMar>
          </w:tcPr>
          <w:p>
            <w:pPr>
              <w:jc w:val="right"/>
            </w:pPr>
            <w:r/>
            <w:r>
              <w:rPr>
                <w:b/>
                <w:color w:val="222222"/>
                <w:sz w:val="19"/>
              </w:rPr>
              <w:t>+$1.56</w:t>
            </w:r>
          </w:p>
        </w:tc>
        <w:tc>
          <w:tcPr>
            <w:tcW w:type="dxa" w:w="1930"/>
            <w:shd w:val="clear" w:color="auto" w:fill="FFFFFF"/>
            <w:tcMar>
              <w:top w:w="80" w:type="dxa"/>
              <w:left w:w="80" w:type="dxa"/>
              <w:bottom w:w="80" w:type="dxa"/>
              <w:right w:w="80" w:type="dxa"/>
            </w:tcMar>
          </w:tcPr>
          <w:p>
            <w:pPr>
              <w:jc w:val="right"/>
            </w:pPr>
            <w:r/>
            <w:r>
              <w:rPr>
                <w:b/>
                <w:color w:val="222222"/>
                <w:sz w:val="19"/>
              </w:rPr>
              <w:t>+$2.84</w:t>
            </w:r>
          </w:p>
        </w:tc>
      </w:tr>
    </w:tbl>
    <w:p>
      <w:pPr>
        <w:spacing w:after="80"/>
      </w:pPr>
    </w:p>
    <w:p>
      <w:pPr>
        <w:spacing w:after="120"/>
      </w:pPr>
      <w:r>
        <w:rPr>
          <w:i/>
          <w:color w:val="666666"/>
          <w:sz w:val="19"/>
        </w:rPr>
        <w:t>*Base CY28 uses BofA's ~$4.5bn CY28 point as the incremental-contribution basis; bear/bull flex ±25% around the revenue ramp (see sensitivity). Bear CY27 $1.5bn = "800V barely shows up, DC line is legacy amps/clocking" per @bubbleboi timing.</w:t>
      </w:r>
    </w:p>
    <w:p>
      <w:pPr>
        <w:spacing w:after="120"/>
      </w:pPr>
      <w:r>
        <w:rPr>
          <w:b/>
          <w:color w:val="222222"/>
          <w:sz w:val="21"/>
        </w:rPr>
        <w:t>Context vs the base business:</w:t>
      </w:r>
      <w:r>
        <w:rPr>
          <w:color w:val="222222"/>
          <w:sz w:val="21"/>
        </w:rPr>
        <w:t xml:space="preserve"> consensus CY27 EPS is ~$9.02 [BBG snapshot, TXN.md]; Citi models $10.10, UBS $10.14. A base-case </w:t>
      </w:r>
      <w:r>
        <w:rPr>
          <w:b/>
          <w:color w:val="222222"/>
          <w:sz w:val="21"/>
        </w:rPr>
        <w:t>+$0.95</w:t>
      </w:r>
      <w:r>
        <w:rPr>
          <w:color w:val="222222"/>
          <w:sz w:val="21"/>
        </w:rPr>
        <w:t xml:space="preserve"> DC/800V accretion is ~10% of CY27 EPS — material but not the whole stock. This is consistent with DC being ~9-12% of revenue growing to ~18%.</w:t>
      </w:r>
    </w:p>
    <w:p>
      <w:pPr>
        <w:pStyle w:val="Heading3"/>
        <w:spacing w:before="160" w:after="120"/>
      </w:pPr>
      <w:r>
        <w:rPr>
          <w:b/>
          <w:color w:val="222222"/>
          <w:sz w:val="23"/>
        </w:rPr>
        <w:t>3.6 Sensitivity (load-bearing assumption isolated)</w:t>
      </w:r>
    </w:p>
    <w:p>
      <w:pPr>
        <w:spacing w:after="120"/>
      </w:pPr>
      <w:r>
        <w:rPr>
          <w:b/>
          <w:color w:val="222222"/>
          <w:sz w:val="21"/>
        </w:rPr>
        <w:t>±25% on the revenue ramp (the load-bearing input), base-case CY27 (42% OPM):</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FA8"/>
            <w:tcMar>
              <w:top w:w="80" w:type="dxa"/>
              <w:left w:w="80" w:type="dxa"/>
              <w:bottom w:w="80" w:type="dxa"/>
              <w:right w:w="80" w:type="dxa"/>
            </w:tcMar>
          </w:tcPr>
          <w:p>
            <w:r/>
            <w:r>
              <w:rPr>
                <w:b/>
                <w:color w:val="FFFFFF"/>
                <w:sz w:val="19"/>
              </w:rPr>
              <w:t>Revenue ramp</w:t>
            </w:r>
          </w:p>
        </w:tc>
        <w:tc>
          <w:tcPr>
            <w:tcW w:type="dxa" w:w="3216"/>
            <w:shd w:val="clear" w:color="auto" w:fill="1F3FA8"/>
            <w:tcMar>
              <w:top w:w="80" w:type="dxa"/>
              <w:left w:w="80" w:type="dxa"/>
              <w:bottom w:w="80" w:type="dxa"/>
              <w:right w:w="80" w:type="dxa"/>
            </w:tcMar>
          </w:tcPr>
          <w:p>
            <w:pPr>
              <w:jc w:val="right"/>
            </w:pPr>
            <w:r/>
            <w:r>
              <w:rPr>
                <w:b/>
                <w:color w:val="FFFFFF"/>
                <w:sz w:val="19"/>
              </w:rPr>
              <w:t>Incr. rev</w:t>
            </w:r>
          </w:p>
        </w:tc>
        <w:tc>
          <w:tcPr>
            <w:tcW w:type="dxa" w:w="3216"/>
            <w:shd w:val="clear" w:color="auto" w:fill="1F3FA8"/>
            <w:tcMar>
              <w:top w:w="80" w:type="dxa"/>
              <w:left w:w="80" w:type="dxa"/>
              <w:bottom w:w="80" w:type="dxa"/>
              <w:right w:w="80" w:type="dxa"/>
            </w:tcMar>
          </w:tcPr>
          <w:p>
            <w:pPr>
              <w:jc w:val="right"/>
            </w:pPr>
            <w:r/>
            <w:r>
              <w:rPr>
                <w:b/>
                <w:color w:val="FFFFFF"/>
                <w:sz w:val="19"/>
              </w:rPr>
              <w:t>CY27 EPS accretion</w:t>
            </w:r>
          </w:p>
        </w:tc>
      </w:tr>
      <w:tr>
        <w:tc>
          <w:tcPr>
            <w:tcW w:type="dxa" w:w="3216"/>
            <w:shd w:val="clear" w:color="auto" w:fill="FFFFFF"/>
            <w:tcMar>
              <w:top w:w="80" w:type="dxa"/>
              <w:left w:w="80" w:type="dxa"/>
              <w:bottom w:w="80" w:type="dxa"/>
              <w:right w:w="80" w:type="dxa"/>
            </w:tcMar>
          </w:tcPr>
          <w:p>
            <w:r/>
            <w:r>
              <w:rPr>
                <w:color w:val="222222"/>
                <w:sz w:val="19"/>
              </w:rPr>
              <w:t>−25%</w:t>
            </w:r>
          </w:p>
        </w:tc>
        <w:tc>
          <w:tcPr>
            <w:tcW w:type="dxa" w:w="3216"/>
            <w:shd w:val="clear" w:color="auto" w:fill="FFFFFF"/>
            <w:tcMar>
              <w:top w:w="80" w:type="dxa"/>
              <w:left w:w="80" w:type="dxa"/>
              <w:bottom w:w="80" w:type="dxa"/>
              <w:right w:w="80" w:type="dxa"/>
            </w:tcMar>
          </w:tcPr>
          <w:p>
            <w:pPr>
              <w:jc w:val="right"/>
            </w:pPr>
            <w:r/>
            <w:r>
              <w:rPr>
                <w:color w:val="222222"/>
                <w:sz w:val="19"/>
              </w:rPr>
              <w:t>$1.8bn</w:t>
            </w:r>
          </w:p>
        </w:tc>
        <w:tc>
          <w:tcPr>
            <w:tcW w:type="dxa" w:w="3216"/>
            <w:shd w:val="clear" w:color="auto" w:fill="FFFFFF"/>
            <w:tcMar>
              <w:top w:w="80" w:type="dxa"/>
              <w:left w:w="80" w:type="dxa"/>
              <w:bottom w:w="80" w:type="dxa"/>
              <w:right w:w="80" w:type="dxa"/>
            </w:tcMar>
          </w:tcPr>
          <w:p>
            <w:pPr>
              <w:jc w:val="right"/>
            </w:pPr>
            <w:r/>
            <w:r>
              <w:rPr>
                <w:b/>
                <w:color w:val="222222"/>
                <w:sz w:val="19"/>
              </w:rPr>
              <w:t>+$0.71</w:t>
            </w:r>
          </w:p>
        </w:tc>
      </w:tr>
      <w:tr>
        <w:tc>
          <w:tcPr>
            <w:tcW w:type="dxa" w:w="3216"/>
            <w:shd w:val="clear" w:color="auto" w:fill="F2F2F2"/>
            <w:tcMar>
              <w:top w:w="80" w:type="dxa"/>
              <w:left w:w="80" w:type="dxa"/>
              <w:bottom w:w="80" w:type="dxa"/>
              <w:right w:w="80" w:type="dxa"/>
            </w:tcMar>
          </w:tcPr>
          <w:p>
            <w:r/>
            <w:r>
              <w:rPr>
                <w:color w:val="222222"/>
                <w:sz w:val="19"/>
              </w:rPr>
              <w:t>Base</w:t>
            </w:r>
          </w:p>
        </w:tc>
        <w:tc>
          <w:tcPr>
            <w:tcW w:type="dxa" w:w="3216"/>
            <w:shd w:val="clear" w:color="auto" w:fill="F2F2F2"/>
            <w:tcMar>
              <w:top w:w="80" w:type="dxa"/>
              <w:left w:w="80" w:type="dxa"/>
              <w:bottom w:w="80" w:type="dxa"/>
              <w:right w:w="80" w:type="dxa"/>
            </w:tcMar>
          </w:tcPr>
          <w:p>
            <w:pPr>
              <w:jc w:val="right"/>
            </w:pPr>
            <w:r/>
            <w:r>
              <w:rPr>
                <w:color w:val="222222"/>
                <w:sz w:val="19"/>
              </w:rPr>
              <w:t>$2.4bn</w:t>
            </w:r>
          </w:p>
        </w:tc>
        <w:tc>
          <w:tcPr>
            <w:tcW w:type="dxa" w:w="3216"/>
            <w:shd w:val="clear" w:color="auto" w:fill="F2F2F2"/>
            <w:tcMar>
              <w:top w:w="80" w:type="dxa"/>
              <w:left w:w="80" w:type="dxa"/>
              <w:bottom w:w="80" w:type="dxa"/>
              <w:right w:w="80" w:type="dxa"/>
            </w:tcMar>
          </w:tcPr>
          <w:p>
            <w:pPr>
              <w:jc w:val="right"/>
            </w:pPr>
            <w:r/>
            <w:r>
              <w:rPr>
                <w:b/>
                <w:color w:val="222222"/>
                <w:sz w:val="19"/>
              </w:rPr>
              <w:t>+$0.95</w:t>
            </w:r>
          </w:p>
        </w:tc>
      </w:tr>
      <w:tr>
        <w:tc>
          <w:tcPr>
            <w:tcW w:type="dxa" w:w="3216"/>
            <w:shd w:val="clear" w:color="auto" w:fill="FFFFFF"/>
            <w:tcMar>
              <w:top w:w="80" w:type="dxa"/>
              <w:left w:w="80" w:type="dxa"/>
              <w:bottom w:w="80" w:type="dxa"/>
              <w:right w:w="80" w:type="dxa"/>
            </w:tcMar>
          </w:tcPr>
          <w:p>
            <w:r/>
            <w:r>
              <w:rPr>
                <w:color w:val="222222"/>
                <w:sz w:val="19"/>
              </w:rPr>
              <w:t>+25%</w:t>
            </w:r>
          </w:p>
        </w:tc>
        <w:tc>
          <w:tcPr>
            <w:tcW w:type="dxa" w:w="3216"/>
            <w:shd w:val="clear" w:color="auto" w:fill="FFFFFF"/>
            <w:tcMar>
              <w:top w:w="80" w:type="dxa"/>
              <w:left w:w="80" w:type="dxa"/>
              <w:bottom w:w="80" w:type="dxa"/>
              <w:right w:w="80" w:type="dxa"/>
            </w:tcMar>
          </w:tcPr>
          <w:p>
            <w:pPr>
              <w:jc w:val="right"/>
            </w:pPr>
            <w:r/>
            <w:r>
              <w:rPr>
                <w:color w:val="222222"/>
                <w:sz w:val="19"/>
              </w:rPr>
              <w:t>$3.0bn</w:t>
            </w:r>
          </w:p>
        </w:tc>
        <w:tc>
          <w:tcPr>
            <w:tcW w:type="dxa" w:w="3216"/>
            <w:shd w:val="clear" w:color="auto" w:fill="FFFFFF"/>
            <w:tcMar>
              <w:top w:w="80" w:type="dxa"/>
              <w:left w:w="80" w:type="dxa"/>
              <w:bottom w:w="80" w:type="dxa"/>
              <w:right w:w="80" w:type="dxa"/>
            </w:tcMar>
          </w:tcPr>
          <w:p>
            <w:pPr>
              <w:jc w:val="right"/>
            </w:pPr>
            <w:r/>
            <w:r>
              <w:rPr>
                <w:b/>
                <w:color w:val="222222"/>
                <w:sz w:val="19"/>
              </w:rPr>
              <w:t>+$1.19</w:t>
            </w:r>
          </w:p>
        </w:tc>
      </w:tr>
    </w:tbl>
    <w:p>
      <w:pPr>
        <w:spacing w:after="80"/>
      </w:pPr>
    </w:p>
    <w:p>
      <w:pPr>
        <w:spacing w:after="120"/>
      </w:pPr>
      <w:r>
        <w:rPr>
          <w:b/>
          <w:color w:val="222222"/>
          <w:sz w:val="21"/>
        </w:rPr>
        <w:t>±25% on incremental margin, base-case CY27 ($2.4bn rev):</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1F3FA8"/>
            <w:tcMar>
              <w:top w:w="80" w:type="dxa"/>
              <w:left w:w="80" w:type="dxa"/>
              <w:bottom w:w="80" w:type="dxa"/>
              <w:right w:w="80" w:type="dxa"/>
            </w:tcMar>
          </w:tcPr>
          <w:p>
            <w:r/>
            <w:r>
              <w:rPr>
                <w:b/>
                <w:color w:val="FFFFFF"/>
                <w:sz w:val="19"/>
              </w:rPr>
              <w:t>Incr. OP margin</w:t>
            </w:r>
          </w:p>
        </w:tc>
        <w:tc>
          <w:tcPr>
            <w:tcW w:type="dxa" w:w="4824"/>
            <w:shd w:val="clear" w:color="auto" w:fill="1F3FA8"/>
            <w:tcMar>
              <w:top w:w="80" w:type="dxa"/>
              <w:left w:w="80" w:type="dxa"/>
              <w:bottom w:w="80" w:type="dxa"/>
              <w:right w:w="80" w:type="dxa"/>
            </w:tcMar>
          </w:tcPr>
          <w:p>
            <w:pPr>
              <w:jc w:val="right"/>
            </w:pPr>
            <w:r/>
            <w:r>
              <w:rPr>
                <w:b/>
                <w:color w:val="FFFFFF"/>
                <w:sz w:val="19"/>
              </w:rPr>
              <w:t>CY27 EPS accretion</w:t>
            </w:r>
          </w:p>
        </w:tc>
      </w:tr>
      <w:tr>
        <w:tc>
          <w:tcPr>
            <w:tcW w:type="dxa" w:w="4824"/>
            <w:shd w:val="clear" w:color="auto" w:fill="FFFFFF"/>
            <w:tcMar>
              <w:top w:w="80" w:type="dxa"/>
              <w:left w:w="80" w:type="dxa"/>
              <w:bottom w:w="80" w:type="dxa"/>
              <w:right w:w="80" w:type="dxa"/>
            </w:tcMar>
          </w:tcPr>
          <w:p>
            <w:r/>
            <w:r>
              <w:rPr>
                <w:color w:val="222222"/>
                <w:sz w:val="19"/>
              </w:rPr>
              <w:t>31.5% (−25%)</w:t>
            </w:r>
          </w:p>
        </w:tc>
        <w:tc>
          <w:tcPr>
            <w:tcW w:type="dxa" w:w="4824"/>
            <w:shd w:val="clear" w:color="auto" w:fill="FFFFFF"/>
            <w:tcMar>
              <w:top w:w="80" w:type="dxa"/>
              <w:left w:w="80" w:type="dxa"/>
              <w:bottom w:w="80" w:type="dxa"/>
              <w:right w:w="80" w:type="dxa"/>
            </w:tcMar>
          </w:tcPr>
          <w:p>
            <w:pPr>
              <w:jc w:val="right"/>
            </w:pPr>
            <w:r/>
            <w:r>
              <w:rPr>
                <w:b/>
                <w:color w:val="222222"/>
                <w:sz w:val="19"/>
              </w:rPr>
              <w:t>+$0.71</w:t>
            </w:r>
          </w:p>
        </w:tc>
      </w:tr>
      <w:tr>
        <w:tc>
          <w:tcPr>
            <w:tcW w:type="dxa" w:w="4824"/>
            <w:shd w:val="clear" w:color="auto" w:fill="F2F2F2"/>
            <w:tcMar>
              <w:top w:w="80" w:type="dxa"/>
              <w:left w:w="80" w:type="dxa"/>
              <w:bottom w:w="80" w:type="dxa"/>
              <w:right w:w="80" w:type="dxa"/>
            </w:tcMar>
          </w:tcPr>
          <w:p>
            <w:r/>
            <w:r>
              <w:rPr>
                <w:color w:val="222222"/>
                <w:sz w:val="19"/>
              </w:rPr>
              <w:t>42% base</w:t>
            </w:r>
          </w:p>
        </w:tc>
        <w:tc>
          <w:tcPr>
            <w:tcW w:type="dxa" w:w="4824"/>
            <w:shd w:val="clear" w:color="auto" w:fill="F2F2F2"/>
            <w:tcMar>
              <w:top w:w="80" w:type="dxa"/>
              <w:left w:w="80" w:type="dxa"/>
              <w:bottom w:w="80" w:type="dxa"/>
              <w:right w:w="80" w:type="dxa"/>
            </w:tcMar>
          </w:tcPr>
          <w:p>
            <w:pPr>
              <w:jc w:val="right"/>
            </w:pPr>
            <w:r/>
            <w:r>
              <w:rPr>
                <w:b/>
                <w:color w:val="222222"/>
                <w:sz w:val="19"/>
              </w:rPr>
              <w:t>+$0.95</w:t>
            </w:r>
          </w:p>
        </w:tc>
      </w:tr>
      <w:tr>
        <w:tc>
          <w:tcPr>
            <w:tcW w:type="dxa" w:w="4824"/>
            <w:shd w:val="clear" w:color="auto" w:fill="FFFFFF"/>
            <w:tcMar>
              <w:top w:w="80" w:type="dxa"/>
              <w:left w:w="80" w:type="dxa"/>
              <w:bottom w:w="80" w:type="dxa"/>
              <w:right w:w="80" w:type="dxa"/>
            </w:tcMar>
          </w:tcPr>
          <w:p>
            <w:r/>
            <w:r>
              <w:rPr>
                <w:color w:val="222222"/>
                <w:sz w:val="19"/>
              </w:rPr>
              <w:t>52.5% (+25%)</w:t>
            </w:r>
          </w:p>
        </w:tc>
        <w:tc>
          <w:tcPr>
            <w:tcW w:type="dxa" w:w="4824"/>
            <w:shd w:val="clear" w:color="auto" w:fill="FFFFFF"/>
            <w:tcMar>
              <w:top w:w="80" w:type="dxa"/>
              <w:left w:w="80" w:type="dxa"/>
              <w:bottom w:w="80" w:type="dxa"/>
              <w:right w:w="80" w:type="dxa"/>
            </w:tcMar>
          </w:tcPr>
          <w:p>
            <w:pPr>
              <w:jc w:val="right"/>
            </w:pPr>
            <w:r/>
            <w:r>
              <w:rPr>
                <w:b/>
                <w:color w:val="222222"/>
                <w:sz w:val="19"/>
              </w:rPr>
              <w:t>+$1.19</w:t>
            </w:r>
          </w:p>
        </w:tc>
      </w:tr>
    </w:tbl>
    <w:p>
      <w:pPr>
        <w:spacing w:after="80"/>
      </w:pPr>
    </w:p>
    <w:p>
      <w:pPr>
        <w:spacing w:after="120"/>
      </w:pPr>
      <w:r>
        <w:rPr>
          <w:color w:val="222222"/>
          <w:sz w:val="21"/>
        </w:rPr>
        <w:t xml:space="preserve">Coincidentally symmetric because the bridge is multiplicative — but the </w:t>
      </w:r>
      <w:r>
        <w:rPr>
          <w:i/>
          <w:color w:val="222222"/>
          <w:sz w:val="21"/>
        </w:rPr>
        <w:t>asymmetry of confidence</w:t>
      </w:r>
      <w:r>
        <w:rPr>
          <w:color w:val="222222"/>
          <w:sz w:val="21"/>
        </w:rPr>
        <w:t xml:space="preserve"> is the point: the revenue ramp is the disputed variable (bull Citi/BofA vs bear @bubbleboi 2-3yr lag), while the margin anchor is a disclosed 10-Q figure. </w:t>
      </w:r>
      <w:r>
        <w:rPr>
          <w:b/>
          <w:color w:val="222222"/>
          <w:sz w:val="21"/>
        </w:rPr>
        <w:t>The revenue slope carries the thesis.</w:t>
      </w:r>
    </w:p>
    <w:p>
      <w:pPr>
        <w:pStyle w:val="Heading3"/>
        <w:spacing w:before="160" w:after="120"/>
      </w:pPr>
      <w:r>
        <w:rPr>
          <w:b/>
          <w:color w:val="222222"/>
          <w:sz w:val="23"/>
        </w:rPr>
        <w:t>3.7 Guardrails (sanity checks — as instructed)</w:t>
      </w:r>
    </w:p>
    <w:p>
      <w:pPr>
        <w:spacing w:after="120"/>
      </w:pPr>
      <w:r>
        <w:rPr>
          <w:color w:val="222222"/>
          <w:sz w:val="21"/>
        </w:rPr>
        <w:t xml:space="preserve">1. </w:t>
      </w:r>
      <w:r>
        <w:rPr>
          <w:b/>
          <w:color w:val="222222"/>
          <w:sz w:val="21"/>
        </w:rPr>
        <w:t>vs 800V TAM:</w:t>
      </w:r>
      <w:r>
        <w:rPr>
          <w:color w:val="222222"/>
          <w:sz w:val="21"/>
        </w:rPr>
        <w:t xml:space="preserve"> Citi sizes rack power-delivery TAM at ~$12bn by 2028 [Citi, 2026-06-15]. Our base-case CY28 incremental (~$3.0bn </w:t>
      </w:r>
      <w:r>
        <w:rPr>
          <w:i/>
          <w:color w:val="222222"/>
          <w:sz w:val="21"/>
        </w:rPr>
        <w:t>total DC</w:t>
      </w:r>
      <w:r>
        <w:rPr>
          <w:color w:val="222222"/>
          <w:sz w:val="21"/>
        </w:rPr>
        <w:t xml:space="preserve">, of which 800V is a subset) implies TXN capturing a plausible minority of the power-delivery pool while ADI/ON/IFX/MPWR/Renesas split the rest. </w:t>
      </w:r>
      <w:r>
        <w:rPr>
          <w:b/>
          <w:color w:val="222222"/>
          <w:sz w:val="21"/>
        </w:rPr>
        <w:t>Bull $6.0bn incremental would imply TXN taking ~half the entire power-delivery TAM — structurally implausible given the fragmented ~11-supplier landscape [Citi, 2026-06-15].</w:t>
      </w:r>
      <w:r>
        <w:rPr>
          <w:color w:val="222222"/>
          <w:sz w:val="21"/>
        </w:rPr>
        <w:t xml:space="preserve"> We flag the bull case as </w:t>
      </w:r>
      <w:r>
        <w:rPr>
          <w:i/>
          <w:color w:val="222222"/>
          <w:sz w:val="21"/>
        </w:rPr>
        <w:t>aggressive and TAM-constrained</w:t>
      </w:r>
      <w:r>
        <w:rPr>
          <w:color w:val="222222"/>
          <w:sz w:val="21"/>
        </w:rPr>
        <w:t xml:space="preserve">; it is a ceiling, not a forecast. The BofA ~$4.5bn CY28 figure is </w:t>
      </w:r>
      <w:r>
        <w:rPr>
          <w:i/>
          <w:color w:val="222222"/>
          <w:sz w:val="21"/>
        </w:rPr>
        <w:t>total AI/DC</w:t>
      </w:r>
      <w:r>
        <w:rPr>
          <w:color w:val="222222"/>
          <w:sz w:val="21"/>
        </w:rPr>
        <w:t xml:space="preserve"> (includes non-800V amps/clocking), so it does not violate the 800V TAM — but bull-case $6.0bn does strain it.</w:t>
      </w:r>
    </w:p>
    <w:p>
      <w:pPr>
        <w:spacing w:after="120"/>
      </w:pPr>
      <w:r>
        <w:rPr>
          <w:color w:val="222222"/>
          <w:sz w:val="21"/>
        </w:rPr>
        <w:t xml:space="preserve">2. </w:t>
      </w:r>
      <w:r>
        <w:rPr>
          <w:b/>
          <w:color w:val="222222"/>
          <w:sz w:val="21"/>
        </w:rPr>
        <w:t>vs Analog segment size:</w:t>
      </w:r>
      <w:r>
        <w:rPr>
          <w:color w:val="222222"/>
          <w:sz w:val="21"/>
        </w:rPr>
        <w:t xml:space="preserve"> the bottom-up model puts CY26 Analog ~$16,995m and CY27 total ~$24,606m (Analog ~$20.6bn implied) [</w:t>
      </w:r>
      <w:r>
        <w:rPr>
          <w:rFonts w:ascii="Consolas" w:hAnsi="Consolas"/>
          <w:color w:val="222222"/>
          <w:sz w:val="20"/>
        </w:rPr>
        <w:t>TXN_bottom_up_model.xlsx</w:t>
      </w:r>
      <w:r>
        <w:rPr>
          <w:color w:val="222222"/>
          <w:sz w:val="21"/>
        </w:rPr>
        <w:t xml:space="preserve">, 2026-07-01, cached values confirmed post skeptic-correction]. A CY28 DC/AI book of ~$4.5bn sits comfortably inside a &gt;$20bn Analog segment (~18-22% of Analog) — consistent, not double-counted. Bull $6.0bn would be ~29% of the ~$20.6bn CY27 Analog base — high but not impossible; again treat as ceiling. </w:t>
      </w:r>
      <w:r>
        <w:rPr>
          <w:b/>
          <w:color w:val="222222"/>
          <w:sz w:val="21"/>
        </w:rPr>
        <w:t>Caveat carried over from the revenue model's own skeptic review: CY27 in the underlying model is "directional, not precise" (7 of 8 quarters are extrapolated off a recovery slope, only Q2FY26 is hard-guided) — using it as a sanity denominator is reasonable, but it is itself a soft number, not a hard one.</w:t>
      </w:r>
    </w:p>
    <w:p>
      <w:pPr>
        <w:pStyle w:val="Heading2"/>
        <w:spacing w:before="280" w:after="120"/>
      </w:pPr>
      <w:r>
        <w:rPr>
          <w:b/>
          <w:color w:val="1F3FA8"/>
          <w:sz w:val="26"/>
        </w:rPr>
        <w:t>4. Bull / Bear Synthesis (attributed)</w:t>
      </w:r>
    </w:p>
    <w:p>
      <w:pPr>
        <w:pStyle w:val="Heading3"/>
        <w:spacing w:before="160" w:after="120"/>
      </w:pPr>
      <w:r>
        <w:rPr>
          <w:b/>
          <w:color w:val="222222"/>
          <w:sz w:val="23"/>
        </w:rPr>
        <w:t>Bull</w:t>
      </w:r>
    </w:p>
    <w:p>
      <w:pPr>
        <w:pStyle w:val="ListBullet"/>
        <w:spacing w:after="60"/>
      </w:pPr>
      <w:r>
        <w:rPr>
          <w:b/>
          <w:color w:val="222222"/>
          <w:sz w:val="21"/>
        </w:rPr>
        <w:t>Citi — top pick, PT $345 (30x 2028E EPS):</w:t>
      </w:r>
      <w:r>
        <w:rPr>
          <w:color w:val="222222"/>
          <w:sz w:val="21"/>
        </w:rPr>
        <w:t xml:space="preserve"> "TI is our top idea... best positioned to take advantage from the capacity that they have built over the last three years... they're going to take share and also be best positioned to provide the capacity for GaN and some of these wide-bandgap materials for 800 volts" [Citi/Malik expert call, 2026-06-16]. Raised C26/27/28 EPS to </w:t>
      </w:r>
      <w:r>
        <w:rPr>
          <w:b/>
          <w:color w:val="222222"/>
          <w:sz w:val="21"/>
        </w:rPr>
        <w:t>$8.03/$10.10/$11.42</w:t>
      </w:r>
      <w:r>
        <w:rPr>
          <w:color w:val="222222"/>
          <w:sz w:val="21"/>
        </w:rPr>
        <w:t>; largest GM-expansion opportunity (&gt;10pp) on ~85% internal wafers; DC-power share gains 2H26 vs IFX/MPWR/Renesas [Citi "800V power", 2026-06-15].</w:t>
      </w:r>
    </w:p>
    <w:p>
      <w:pPr>
        <w:pStyle w:val="ListBullet"/>
        <w:spacing w:after="60"/>
      </w:pPr>
      <w:r>
        <w:rPr>
          <w:b/>
          <w:color w:val="222222"/>
          <w:sz w:val="21"/>
        </w:rPr>
        <w:t>BofA — Buy, PT $370 (40x CY27E):</w:t>
      </w:r>
      <w:r>
        <w:rPr>
          <w:color w:val="222222"/>
          <w:sz w:val="21"/>
        </w:rPr>
        <w:t xml:space="preserve"> TXN the "largest data-center business in analog (~$1.5bn CY25, +64% YoY) but still mostly general-purpose amps/clocking (VRMs/GaN sockets yet to come); AI to ~$4.5bn by CY28 (~18% of sales vs ~12% today)"; retains leading AI-analog share expanding to ~21% CY30 [BofA/Arya "AI Power Semis: Top picks are TXN, ADI, and ON for the 800V era", 2026-05-25].</w:t>
      </w:r>
    </w:p>
    <w:p>
      <w:pPr>
        <w:pStyle w:val="ListBullet"/>
        <w:spacing w:after="60"/>
      </w:pPr>
      <w:r>
        <w:rPr>
          <w:b/>
          <w:color w:val="222222"/>
          <w:sz w:val="21"/>
        </w:rPr>
        <w:t>JPM — "ability to supply" = share:</w:t>
      </w:r>
      <w:r>
        <w:rPr>
          <w:color w:val="222222"/>
          <w:sz w:val="21"/>
        </w:rPr>
        <w:t xml:space="preserve"> management attributed Q1 strength partly to capacity availability converting to share while peers are constrained; reclassified PSU content from industrial into DC; "application-specific 800V sockets (Stage-1 conversion, GaN power stages, GPU VRM/V-core sampling) building 2H26 into 2027" [JPM/Deshpande "First Principles", 2026-06-25]. JPM (Sur) keeps TXN OW top pick; CY27 EPS already revised +23% across ADI/TXN/MCHP [JPM, 2026-05-29].</w:t>
      </w:r>
    </w:p>
    <w:p>
      <w:pPr>
        <w:pStyle w:val="ListBullet"/>
        <w:spacing w:after="60"/>
      </w:pPr>
      <w:r>
        <w:rPr>
          <w:b/>
          <w:color w:val="222222"/>
          <w:sz w:val="21"/>
        </w:rPr>
        <w:t>UBS — Buy, PT $245, top analog pick:</w:t>
      </w:r>
      <w:r>
        <w:rPr>
          <w:color w:val="222222"/>
          <w:sz w:val="21"/>
        </w:rPr>
        <w:t xml:space="preserve"> the FCF-inflection thesis (capex $5bn peak → $2.35bn 2026E → $2.0bn 2027E), well above Street on '26/'27; on pricing UBS thinks "TI's maybe not completely admitting that pricing is helping them as much as it is" (i.e. </w:t>
      </w:r>
      <w:r>
        <w:rPr>
          <w:b/>
          <w:color w:val="222222"/>
          <w:sz w:val="21"/>
        </w:rPr>
        <w:t>sandbagging</w:t>
      </w:r>
      <w:r>
        <w:rPr>
          <w:color w:val="222222"/>
          <w:sz w:val="21"/>
        </w:rPr>
        <w:t xml:space="preserve"> — web scrapes of TI.com show broader price action than management admits) [UBS/Arcuri callback, 2026-04-23].</w:t>
      </w:r>
    </w:p>
    <w:p>
      <w:pPr>
        <w:pStyle w:val="ListBullet"/>
        <w:spacing w:after="60"/>
      </w:pPr>
      <w:r>
        <w:rPr>
          <w:b/>
          <w:color w:val="222222"/>
          <w:sz w:val="21"/>
        </w:rPr>
        <w:t>Management:</w:t>
      </w:r>
      <w:r>
        <w:rPr>
          <w:color w:val="222222"/>
          <w:sz w:val="21"/>
        </w:rPr>
        <w:t xml:space="preserve"> DC ~+90% YoY, "almost every analog socket on these racks," ~$8 FCF/share "very probable" [Ilan, Q1 FY26, 2026-04-22]. Pricing: second-round hike </w:t>
      </w:r>
      <w:r>
        <w:rPr>
          <w:b/>
          <w:color w:val="222222"/>
          <w:sz w:val="21"/>
        </w:rPr>
        <w:t>+10-25% effective Jul 1</w:t>
      </w:r>
      <w:r>
        <w:rPr>
          <w:color w:val="222222"/>
          <w:sz w:val="21"/>
        </w:rPr>
        <w:t>, ahead of IFX/STM [@QQ_Timmy, briefing 2026-06-20; Jefferies/Menon, 2026-06-03].</w:t>
      </w:r>
    </w:p>
    <w:p>
      <w:pPr>
        <w:pStyle w:val="ListBullet"/>
        <w:spacing w:after="60"/>
      </w:pPr>
      <w:r>
        <w:rPr>
          <w:b/>
          <w:color w:val="222222"/>
          <w:sz w:val="21"/>
        </w:rPr>
        <w:t>Structural insulation:</w:t>
      </w:r>
      <w:r>
        <w:rPr>
          <w:color w:val="222222"/>
          <w:sz w:val="21"/>
        </w:rPr>
        <w:t xml:space="preserve"> analog/MCUs/MOSFETs see "very little" Chinese investment (China attacks only high-growth SiC/GaN/GPU) — catalog franchise structurally insulated from indigenization [Jefferies/Menon, 2026-06-03]. TXN is the margin leader: FY25 GM 57.0%, EBIT 34.1%, ROIC 17.4%, highest in the analog/power peer set [AlphaSense IFX Primer, 2026-06-22].</w:t>
      </w:r>
    </w:p>
    <w:p>
      <w:pPr>
        <w:pStyle w:val="Heading3"/>
        <w:spacing w:before="160" w:after="120"/>
      </w:pPr>
      <w:r>
        <w:rPr>
          <w:b/>
          <w:color w:val="222222"/>
          <w:sz w:val="23"/>
        </w:rPr>
        <w:t>Bear</w:t>
      </w:r>
    </w:p>
    <w:p>
      <w:pPr>
        <w:pStyle w:val="ListBullet"/>
        <w:spacing w:after="60"/>
      </w:pPr>
      <w:r>
        <w:rPr>
          <w:b/>
          <w:color w:val="222222"/>
          <w:sz w:val="21"/>
        </w:rPr>
        <w:t>@bubbleboi — the timing bear (the load-bearing pushback):</w:t>
      </w:r>
      <w:r>
        <w:rPr>
          <w:color w:val="222222"/>
          <w:sz w:val="21"/>
        </w:rPr>
        <w:t xml:space="preserve"> "Channel checks with every DC construction PM in the country — no plans to do this anytime soon. TXN specifically vocal about this. </w:t>
      </w:r>
      <w:r>
        <w:rPr>
          <w:b/>
          <w:color w:val="222222"/>
          <w:sz w:val="21"/>
        </w:rPr>
        <w:t>2-3 years before hitting earnings.</w:t>
      </w:r>
      <w:r>
        <w:rPr>
          <w:color w:val="222222"/>
          <w:sz w:val="21"/>
        </w:rPr>
        <w:t xml:space="preserve"> China can flood GaN/SiC like InP. Better risk/reward: WFE + full-system plays (transformers, inverters)" [briefing 2026-06-15]. This is the direct counter to the 2H26 revenue-recognition case and is why our </w:t>
      </w:r>
      <w:r>
        <w:rPr>
          <w:b/>
          <w:color w:val="222222"/>
          <w:sz w:val="21"/>
        </w:rPr>
        <w:t>bear CY27 accretion is only +$0.50</w:t>
      </w:r>
      <w:r>
        <w:rPr>
          <w:color w:val="222222"/>
          <w:sz w:val="21"/>
        </w:rPr>
        <w:t>.</w:t>
      </w:r>
    </w:p>
    <w:p>
      <w:pPr>
        <w:pStyle w:val="ListBullet"/>
        <w:spacing w:after="60"/>
      </w:pPr>
      <w:r>
        <w:rPr>
          <w:b/>
          <w:color w:val="222222"/>
          <w:sz w:val="21"/>
        </w:rPr>
        <w:t>GS — Sell (valuation, not thesis):</w:t>
      </w:r>
      <w:r>
        <w:rPr>
          <w:color w:val="222222"/>
          <w:sz w:val="21"/>
        </w:rPr>
        <w:t xml:space="preserve"> rates TXN Sell off ~32x normalized $13 EPS; reads ADI's strong print as </w:t>
      </w:r>
      <w:r>
        <w:rPr>
          <w:i/>
          <w:color w:val="222222"/>
          <w:sz w:val="21"/>
        </w:rPr>
        <w:t>risk to the Sell</w:t>
      </w:r>
      <w:r>
        <w:rPr>
          <w:color w:val="222222"/>
          <w:sz w:val="21"/>
        </w:rPr>
        <w:t xml:space="preserve"> because it pushes TXN estimates up — i.e. GS concedes the fundamentals, disputes the multiple [GS/Schneider, 2026-05-20].</w:t>
      </w:r>
    </w:p>
    <w:p>
      <w:pPr>
        <w:pStyle w:val="ListBullet"/>
        <w:spacing w:after="60"/>
      </w:pPr>
      <w:r>
        <w:rPr>
          <w:b/>
          <w:color w:val="222222"/>
          <w:sz w:val="21"/>
        </w:rPr>
        <w:t>China GaN/SiC oversupply:</w:t>
      </w:r>
      <w:r>
        <w:rPr>
          <w:color w:val="222222"/>
          <w:sz w:val="21"/>
        </w:rPr>
        <w:t xml:space="preserve"> the specific risk that Chinese overcapacity floods wide-bandgap as it did indium phosphide, compressing the GaN economics TXN is building for [@bubbleboi, 2026-06-15].</w:t>
      </w:r>
    </w:p>
    <w:p>
      <w:pPr>
        <w:pStyle w:val="ListBullet"/>
        <w:spacing w:after="60"/>
      </w:pPr>
      <w:r>
        <w:rPr>
          <w:b/>
          <w:color w:val="222222"/>
          <w:sz w:val="21"/>
        </w:rPr>
        <w:t>Copper-tax nuance (deflates the runaway-content bull):</w:t>
      </w:r>
      <w:r>
        <w:rPr>
          <w:color w:val="222222"/>
          <w:sz w:val="21"/>
        </w:rPr>
        <w:t xml:space="preserve"> absolute copper </w:t>
      </w:r>
      <w:r>
        <w:rPr>
          <w:i/>
          <w:color w:val="222222"/>
          <w:sz w:val="21"/>
        </w:rPr>
        <w:t>decreases</w:t>
      </w:r>
      <w:r>
        <w:rPr>
          <w:color w:val="222222"/>
          <w:sz w:val="21"/>
        </w:rPr>
        <w:t xml:space="preserve"> per rack at 800V vs 48V; content is roughly flat-to-modestly-up gen/gen, not runaway [UBS 800V expert Q&amp;A, 2026-05-14]. Applies more to connectors than to TXN's silicon, but tempers the "content explosion" framing.</w:t>
      </w:r>
    </w:p>
    <w:p>
      <w:pPr>
        <w:pStyle w:val="ListBullet"/>
        <w:spacing w:after="60"/>
      </w:pPr>
      <w:r>
        <w:rPr>
          <w:b/>
          <w:color w:val="222222"/>
          <w:sz w:val="21"/>
        </w:rPr>
        <w:t>Fragmentation caps pricing power:</w:t>
      </w:r>
      <w:r>
        <w:rPr>
          <w:color w:val="222222"/>
          <w:sz w:val="21"/>
        </w:rPr>
        <w:t xml:space="preserve"> ~11 semiconductor suppliers fighting across conversion stages "with no clear winner yet"; standardized footprints cap integration-premium capture [Citi, 2026-06-15/16]. TXN is defending ~20% AI-analog share, not monopolising.</w:t>
      </w:r>
    </w:p>
    <w:p>
      <w:pPr>
        <w:pStyle w:val="ListBullet"/>
        <w:spacing w:after="60"/>
      </w:pPr>
      <w:r>
        <w:rPr>
          <w:b/>
          <w:color w:val="222222"/>
          <w:sz w:val="21"/>
        </w:rPr>
        <w:t>Kyber timing risk:</w:t>
      </w:r>
      <w:r>
        <w:rPr>
          <w:color w:val="222222"/>
          <w:sz w:val="21"/>
        </w:rPr>
        <w:t xml:space="preserve"> UBS flags </w:t>
      </w:r>
      <w:r>
        <w:rPr>
          <w:b/>
          <w:color w:val="222222"/>
          <w:sz w:val="21"/>
        </w:rPr>
        <w:t>Kyber possibly pushed to 2028</w:t>
      </w:r>
      <w:r>
        <w:rPr>
          <w:color w:val="222222"/>
          <w:sz w:val="21"/>
        </w:rPr>
        <w:t xml:space="preserve"> (with a modified NVL72 "Oberon" for the H2'27 launch moderating per-rack wattage) — if the 800V-native rack slips, so does the socket revenue [UBS "800VDC looming faster", 2026-06-22].</w:t>
      </w:r>
    </w:p>
    <w:p>
      <w:pPr>
        <w:pStyle w:val="ListBullet"/>
        <w:spacing w:after="60"/>
      </w:pPr>
      <w:r>
        <w:rPr>
          <w:b/>
          <w:color w:val="222222"/>
          <w:sz w:val="21"/>
        </w:rPr>
        <w:t>Capital allocation crowds out per-share torque:</w:t>
      </w:r>
      <w:r>
        <w:rPr>
          <w:color w:val="222222"/>
          <w:sz w:val="21"/>
        </w:rPr>
        <w:t xml:space="preserve"> ~$7.5bn Silicon Labs acquisition + dividend consume FCF; buybacks minimal; TXN may lever up to fund the dividend [Arya/Arcuri callbacks, 2026-04-23].</w:t>
      </w:r>
    </w:p>
    <w:p>
      <w:pPr>
        <w:pStyle w:val="ListBullet"/>
        <w:spacing w:after="60"/>
      </w:pPr>
      <w:r>
        <w:rPr>
          <w:b/>
          <w:color w:val="222222"/>
          <w:sz w:val="21"/>
        </w:rPr>
        <w:t>Cycle was slow through 2025:</w:t>
      </w:r>
      <w:r>
        <w:rPr>
          <w:color w:val="222222"/>
          <w:sz w:val="21"/>
        </w:rPr>
        <w:t xml:space="preserve"> Jefferies found "really nothing positive to report" in analog mid-2025, rated TXN HOLD at $184.55; TXN cut its own 2025 growth from 10-15% to ~flat [Jefferies/Curtis-Garrigan, 2025-09-26] — the Q1 FY26 inflection has since outrun that, but it shows how quickly the analog read can flip.</w:t>
      </w:r>
    </w:p>
    <w:p>
      <w:pPr>
        <w:spacing w:after="120"/>
      </w:pPr>
      <w:r>
        <w:rPr>
          <w:b/>
          <w:color w:val="222222"/>
          <w:sz w:val="21"/>
        </w:rPr>
        <w:t>Where the edge is:</w:t>
      </w:r>
      <w:r>
        <w:rPr>
          <w:color w:val="222222"/>
          <w:sz w:val="21"/>
        </w:rPr>
        <w:t xml:space="preserve"> the disagreement is almost entirely on </w:t>
      </w:r>
      <w:r>
        <w:rPr>
          <w:b/>
          <w:color w:val="222222"/>
          <w:sz w:val="21"/>
        </w:rPr>
        <w:t>800V timing</w:t>
      </w:r>
      <w:r>
        <w:rPr>
          <w:color w:val="222222"/>
          <w:sz w:val="21"/>
        </w:rPr>
        <w:t xml:space="preserve"> (2H26 revenue recognition per Citi/BofA/JPM vs 2-3yr lag per @bubbleboi) and on </w:t>
      </w:r>
      <w:r>
        <w:rPr>
          <w:b/>
          <w:color w:val="222222"/>
          <w:sz w:val="21"/>
        </w:rPr>
        <w:t>valuation</w:t>
      </w:r>
      <w:r>
        <w:rPr>
          <w:color w:val="222222"/>
          <w:sz w:val="21"/>
        </w:rPr>
        <w:t xml:space="preserve"> (GS Sell). It is </w:t>
      </w:r>
      <w:r>
        <w:rPr>
          <w:i/>
          <w:color w:val="222222"/>
          <w:sz w:val="21"/>
        </w:rPr>
        <w:t>not</w:t>
      </w:r>
      <w:r>
        <w:rPr>
          <w:color w:val="222222"/>
          <w:sz w:val="21"/>
        </w:rPr>
        <w:t xml:space="preserve"> on whether TXN is well-positioned in the socket — that is consensus. The actionable question for the desk: </w:t>
      </w:r>
      <w:r>
        <w:rPr>
          <w:b/>
          <w:color w:val="222222"/>
          <w:sz w:val="21"/>
        </w:rPr>
        <w:t>do you get paid for 800V in the 2026 numbers, or only in 2027-2028?</w:t>
      </w:r>
      <w:r>
        <w:rPr>
          <w:color w:val="222222"/>
          <w:sz w:val="21"/>
        </w:rPr>
        <w:t xml:space="preserve"> Our base case says the </w:t>
      </w:r>
      <w:r>
        <w:rPr>
          <w:i/>
          <w:color w:val="222222"/>
          <w:sz w:val="21"/>
        </w:rPr>
        <w:t>content</w:t>
      </w:r>
      <w:r>
        <w:rPr>
          <w:color w:val="222222"/>
          <w:sz w:val="21"/>
        </w:rPr>
        <w:t xml:space="preserve"> builds 2H26→2027 [JPM/Deshpande] but the </w:t>
      </w:r>
      <w:r>
        <w:rPr>
          <w:i/>
          <w:color w:val="222222"/>
          <w:sz w:val="21"/>
        </w:rPr>
        <w:t>EPS</w:t>
      </w:r>
      <w:r>
        <w:rPr>
          <w:color w:val="222222"/>
          <w:sz w:val="21"/>
        </w:rPr>
        <w:t xml:space="preserve"> is a 2027-2028 event — closer to the bear's timing than the bulls' PTs imply, even if the direction is the bulls'.</w:t>
      </w:r>
    </w:p>
    <w:p>
      <w:pPr>
        <w:pStyle w:val="Heading2"/>
        <w:spacing w:before="280" w:after="120"/>
      </w:pPr>
      <w:r>
        <w:rPr>
          <w:b/>
          <w:color w:val="1F3FA8"/>
          <w:sz w:val="26"/>
        </w:rPr>
        <w:t>5. Catalysts &amp; Risks (800V-specific)</w:t>
      </w:r>
    </w:p>
    <w:p>
      <w:pPr>
        <w:pStyle w:val="Heading3"/>
        <w:spacing w:before="160" w:after="120"/>
      </w:pPr>
      <w:r>
        <w:rPr>
          <w:b/>
          <w:color w:val="222222"/>
          <w:sz w:val="23"/>
        </w:rPr>
        <w:t>Catalysts — when it shows in the numbers</w:t>
      </w:r>
    </w:p>
    <w:p>
      <w:pPr>
        <w:pStyle w:val="ListBullet"/>
        <w:spacing w:after="60"/>
      </w:pPr>
      <w:r>
        <w:rPr>
          <w:b/>
          <w:color w:val="222222"/>
          <w:sz w:val="21"/>
        </w:rPr>
        <w:t>Q2 FY26 print, ~2026-07-22</w:t>
      </w:r>
      <w:r>
        <w:rPr>
          <w:color w:val="222222"/>
          <w:sz w:val="21"/>
        </w:rPr>
        <w:t xml:space="preserve"> — first call with new CFO </w:t>
      </w:r>
      <w:r>
        <w:rPr>
          <w:b/>
          <w:color w:val="222222"/>
          <w:sz w:val="21"/>
        </w:rPr>
        <w:t>Julie Knecht</w:t>
      </w:r>
      <w:r>
        <w:rPr>
          <w:color w:val="222222"/>
          <w:sz w:val="21"/>
        </w:rPr>
        <w:t xml:space="preserve"> (Lizardi out 2026-08-01) [DB/Seymore, 2026-06-03]. Watch: DC growth rate sustaining ~+90%, any 800V/rack-content disclosure, confirmation of the </w:t>
      </w:r>
      <w:r>
        <w:rPr>
          <w:b/>
          <w:color w:val="222222"/>
          <w:sz w:val="21"/>
        </w:rPr>
        <w:t>Jul 1 +10-25% price hike</w:t>
      </w:r>
      <w:r>
        <w:rPr>
          <w:color w:val="222222"/>
          <w:sz w:val="21"/>
        </w:rPr>
        <w:t xml:space="preserve"> flowing through [@QQ_Timmy, 2026-06-20].</w:t>
      </w:r>
    </w:p>
    <w:p>
      <w:pPr>
        <w:pStyle w:val="ListBullet"/>
        <w:spacing w:after="60"/>
      </w:pPr>
      <w:r>
        <w:rPr>
          <w:b/>
          <w:color w:val="222222"/>
          <w:sz w:val="21"/>
        </w:rPr>
        <w:t>2H26 — 800V share-gain data points</w:t>
      </w:r>
      <w:r>
        <w:rPr>
          <w:color w:val="222222"/>
          <w:sz w:val="21"/>
        </w:rPr>
        <w:t xml:space="preserve"> — Citi expects share gains 2H26 vs IFX/MPWR/Renesas; watch GaN HV capacity ramp and any rack-content dollar disclosure [Citi, 2026-06-15]. JPM sees Stage-1 conversion / GaN power stages / GPU VRM sampling building 2H26→2027 [JPM/Deshpande, 2026-06-25].</w:t>
      </w:r>
    </w:p>
    <w:p>
      <w:pPr>
        <w:pStyle w:val="ListBullet"/>
        <w:spacing w:after="60"/>
      </w:pPr>
      <w:r>
        <w:rPr>
          <w:b/>
          <w:color w:val="222222"/>
          <w:sz w:val="21"/>
        </w:rPr>
        <w:t>Late 2H27 — Rubin Ultra / monopolar 800V sidecar ramp</w:t>
      </w:r>
      <w:r>
        <w:rPr>
          <w:color w:val="222222"/>
          <w:sz w:val="21"/>
        </w:rPr>
        <w:t xml:space="preserve"> — the true 800V-native inflection for TXN's VRM/GaN sockets [Citi, 2026-06-15].</w:t>
      </w:r>
    </w:p>
    <w:p>
      <w:pPr>
        <w:pStyle w:val="ListBullet"/>
        <w:spacing w:after="60"/>
      </w:pPr>
      <w:r>
        <w:rPr>
          <w:b/>
          <w:color w:val="222222"/>
          <w:sz w:val="21"/>
        </w:rPr>
        <w:t>FCF inflection / capex roll-off</w:t>
      </w:r>
      <w:r>
        <w:rPr>
          <w:color w:val="222222"/>
          <w:sz w:val="21"/>
        </w:rPr>
        <w:t xml:space="preserve"> — capex $5bn peak → $2-3bn 2026 (UBS models $2.35bn→$2.0bn); confirmation feeds the ~$8 FCF/share and any buyback restart [Q1 FY26 call; UBS, 2025-12-22].</w:t>
      </w:r>
    </w:p>
    <w:p>
      <w:pPr>
        <w:pStyle w:val="ListBullet"/>
        <w:spacing w:after="60"/>
      </w:pPr>
      <w:r>
        <w:rPr>
          <w:b/>
          <w:color w:val="222222"/>
          <w:sz w:val="21"/>
        </w:rPr>
        <w:t>Cross-read design-win color:</w:t>
      </w:r>
      <w:r>
        <w:rPr>
          <w:color w:val="222222"/>
          <w:sz w:val="21"/>
        </w:rPr>
        <w:t xml:space="preserve"> NVDA published an 800V two-wire row-scale spec with a broad named ecosystem including TI [JPM "800V", 2026-06-09]; ON Analyst Day </w:t>
      </w:r>
      <w:r>
        <w:rPr>
          <w:b/>
          <w:color w:val="222222"/>
          <w:sz w:val="21"/>
        </w:rPr>
        <w:t>Sep-16-2026</w:t>
      </w:r>
      <w:r>
        <w:rPr>
          <w:color w:val="222222"/>
          <w:sz w:val="21"/>
        </w:rPr>
        <w:t xml:space="preserve"> (vertical GaN) is a competitive-intensity read for TXN's GaN slice [Citi catalyst watch, 2026-06-15].</w:t>
      </w:r>
    </w:p>
    <w:p>
      <w:pPr>
        <w:pStyle w:val="Heading3"/>
        <w:spacing w:before="160" w:after="120"/>
      </w:pPr>
      <w:r>
        <w:rPr>
          <w:b/>
          <w:color w:val="222222"/>
          <w:sz w:val="23"/>
        </w:rPr>
        <w:t>Risks / what delays it</w:t>
      </w:r>
    </w:p>
    <w:p>
      <w:pPr>
        <w:pStyle w:val="ListBullet"/>
        <w:spacing w:after="60"/>
      </w:pPr>
      <w:r>
        <w:rPr>
          <w:b/>
          <w:color w:val="222222"/>
          <w:sz w:val="21"/>
        </w:rPr>
        <w:t>Timing (primary):</w:t>
      </w:r>
      <w:r>
        <w:rPr>
          <w:color w:val="222222"/>
          <w:sz w:val="21"/>
        </w:rPr>
        <w:t xml:space="preserve"> 2-3yr lag to earnings; DC-construction PMs "no plans anytime soon" [@bubbleboi, 2026-06-15]; Kyber possibly slips to 2028 [UBS, 2026-06-22]. This is the single biggest risk to the CY27 accretion.</w:t>
      </w:r>
    </w:p>
    <w:p>
      <w:pPr>
        <w:pStyle w:val="ListBullet"/>
        <w:spacing w:after="60"/>
      </w:pPr>
      <w:r>
        <w:rPr>
          <w:b/>
          <w:color w:val="222222"/>
          <w:sz w:val="21"/>
        </w:rPr>
        <w:t>China GaN/SiC flood</w:t>
      </w:r>
      <w:r>
        <w:rPr>
          <w:color w:val="222222"/>
          <w:sz w:val="21"/>
        </w:rPr>
        <w:t xml:space="preserve"> compressing wide-bandgap economics [@bubbleboi, 2026-06-15].</w:t>
      </w:r>
    </w:p>
    <w:p>
      <w:pPr>
        <w:pStyle w:val="ListBullet"/>
        <w:spacing w:after="60"/>
      </w:pPr>
      <w:r>
        <w:rPr>
          <w:b/>
          <w:color w:val="222222"/>
          <w:sz w:val="21"/>
        </w:rPr>
        <w:t>Share, not TAM:</w:t>
      </w:r>
      <w:r>
        <w:rPr>
          <w:color w:val="222222"/>
          <w:sz w:val="21"/>
        </w:rPr>
        <w:t xml:space="preserve"> fragmented ~11-supplier field; ADI's Empower IVR entry (2H26 wins) and ON vertical GaN (ships 2H27) chip at TXN's slice [Citi, 2026-06-15].</w:t>
      </w:r>
    </w:p>
    <w:p>
      <w:pPr>
        <w:pStyle w:val="ListBullet"/>
        <w:spacing w:after="60"/>
      </w:pPr>
      <w:r>
        <w:rPr>
          <w:b/>
          <w:color w:val="222222"/>
          <w:sz w:val="21"/>
        </w:rPr>
        <w:t>Standardised footprints</w:t>
      </w:r>
      <w:r>
        <w:rPr>
          <w:color w:val="222222"/>
          <w:sz w:val="21"/>
        </w:rPr>
        <w:t xml:space="preserve"> cap pricing power / integration premium [Citi, 2026-06-15].</w:t>
      </w:r>
    </w:p>
    <w:p>
      <w:pPr>
        <w:pStyle w:val="ListBullet"/>
        <w:spacing w:after="60"/>
      </w:pPr>
      <w:r>
        <w:rPr>
          <w:b/>
          <w:color w:val="222222"/>
          <w:sz w:val="21"/>
        </w:rPr>
        <w:t>Valuation:</w:t>
      </w:r>
      <w:r>
        <w:rPr>
          <w:color w:val="222222"/>
          <w:sz w:val="21"/>
        </w:rPr>
        <w:t xml:space="preserve"> 12m relative highs, semis ~63% above 200dma ("widest since dot-com") [Redburn/Adley, 2026-05-12]; GS Sell [2026-05-20].</w:t>
      </w:r>
    </w:p>
    <w:p>
      <w:pPr>
        <w:pStyle w:val="ListBullet"/>
        <w:spacing w:after="60"/>
      </w:pPr>
      <w:r>
        <w:rPr>
          <w:b/>
          <w:color w:val="222222"/>
          <w:sz w:val="21"/>
        </w:rPr>
        <w:t>Capital allocation:</w:t>
      </w:r>
      <w:r>
        <w:rPr>
          <w:color w:val="222222"/>
          <w:sz w:val="21"/>
        </w:rPr>
        <w:t xml:space="preserve"> Silicon Labs + dividend crowd out buybacks; possible debt draw [Arya/Arcuri, 2026-04-23].</w:t>
      </w:r>
    </w:p>
    <w:p>
      <w:pPr>
        <w:pStyle w:val="ListBullet"/>
        <w:spacing w:after="60"/>
      </w:pPr>
      <w:r>
        <w:rPr>
          <w:b/>
          <w:color w:val="222222"/>
          <w:sz w:val="21"/>
        </w:rPr>
        <w:t>General cyclicality / China:</w:t>
      </w:r>
      <w:r>
        <w:rPr>
          <w:color w:val="222222"/>
          <w:sz w:val="21"/>
        </w:rPr>
        <w:t xml:space="preserve"> ~20% revenue from China, ~50% shipped into China; auto weak ex-China [10-K, 2026-02-06; Q1 FY26 call].</w:t>
      </w:r>
    </w:p>
    <w:p>
      <w:pPr>
        <w:pStyle w:val="Heading2"/>
        <w:spacing w:before="280" w:after="120"/>
      </w:pPr>
      <w:r>
        <w:rPr>
          <w:b/>
          <w:color w:val="1F3FA8"/>
          <w:sz w:val="26"/>
        </w:rPr>
        <w:t>6. Bottom Line</w:t>
      </w:r>
    </w:p>
    <w:p>
      <w:pPr>
        <w:spacing w:after="120"/>
      </w:pPr>
      <w:r>
        <w:rPr>
          <w:color w:val="222222"/>
          <w:sz w:val="21"/>
        </w:rPr>
        <w:t xml:space="preserve">TXN is a </w:t>
      </w:r>
      <w:r>
        <w:rPr>
          <w:b/>
          <w:color w:val="222222"/>
          <w:sz w:val="21"/>
        </w:rPr>
        <w:t>buy the quality, underwrite the timing carefully</w:t>
      </w:r>
      <w:r>
        <w:rPr>
          <w:color w:val="222222"/>
          <w:sz w:val="21"/>
        </w:rPr>
        <w:t xml:space="preserve"> name on 800V. The socket position is real and consensus-endorsed (Citi top pick, BofA/UBS Buy), the margin structure is best-in-class and disclosed, and the capacity + internal GaN advantage is a genuine moat. But the EPS impact is </w:t>
      </w:r>
      <w:r>
        <w:rPr>
          <w:b/>
          <w:color w:val="222222"/>
          <w:sz w:val="21"/>
        </w:rPr>
        <w:t>back-end-loaded to 2027-2028</w:t>
      </w:r>
      <w:r>
        <w:rPr>
          <w:color w:val="222222"/>
          <w:sz w:val="21"/>
        </w:rPr>
        <w:t xml:space="preserve"> (base case ~+$0.95 CY27 / ~+$1.79 CY28), the bear's 2-3yr timing argument is credible for the </w:t>
      </w:r>
      <w:r>
        <w:rPr>
          <w:i/>
          <w:color w:val="222222"/>
          <w:sz w:val="21"/>
        </w:rPr>
        <w:t>2026</w:t>
      </w:r>
      <w:r>
        <w:rPr>
          <w:color w:val="222222"/>
          <w:sz w:val="21"/>
        </w:rPr>
        <w:t xml:space="preserve"> numbers specifically, and the bull PTs ($345-370) already embed a multiple re-rate on the 800V mix crossing &gt;20% of sales [Citi "we've seen this movie in networking"]. </w:t>
      </w:r>
      <w:r>
        <w:rPr>
          <w:b/>
          <w:color w:val="222222"/>
          <w:sz w:val="21"/>
        </w:rPr>
        <w:t>We would own it as a core analog quality position with 800V as free-ish optionality, size the accretion at the base case, and treat any 2H26 800V-content disclosure as the catalyst that de-risks the 2027 revenue slope — the single variable that carries the thesis.</w:t>
      </w:r>
    </w:p>
    <w:p>
      <w:pPr>
        <w:pStyle w:val="Heading2"/>
        <w:spacing w:before="280" w:after="120"/>
      </w:pPr>
      <w:r>
        <w:rPr>
          <w:b/>
          <w:color w:val="1F3FA8"/>
          <w:sz w:val="26"/>
        </w:rPr>
        <w:t>Sources</w:t>
      </w:r>
    </w:p>
    <w:p>
      <w:pPr>
        <w:spacing w:after="120"/>
      </w:pPr>
      <w:r>
        <w:rPr>
          <w:b/>
          <w:color w:val="222222"/>
          <w:sz w:val="21"/>
        </w:rPr>
        <w:t>Filings:</w:t>
      </w:r>
      <w:r>
        <w:rPr>
          <w:color w:val="222222"/>
          <w:sz w:val="21"/>
        </w:rPr>
        <w:t xml:space="preserve"> TXN 10-K FY2025 (2026-02-06, acc 0000097476-26-000059) — segment revenue/margins, end-market %, share count; TXN 10-Q Q1 FY26 (2026-04-24, acc ...-26-000101) — segment margins, diluted shares 914m, effective tax 10%, buyback $158m.</w:t>
      </w:r>
    </w:p>
    <w:p>
      <w:pPr>
        <w:spacing w:after="120"/>
      </w:pPr>
      <w:r>
        <w:rPr>
          <w:b/>
          <w:color w:val="222222"/>
          <w:sz w:val="21"/>
        </w:rPr>
        <w:t>Transcripts:</w:t>
      </w:r>
      <w:r>
        <w:rPr>
          <w:color w:val="222222"/>
          <w:sz w:val="21"/>
        </w:rPr>
        <w:t xml:space="preserve"> TXN Q1 FY26 (2026-04-22), Q4 FY25 (2026-01-27), Q3 FY25 (2025-10-22), Q2 FY25 (2025-07-22) earnings calls. </w:t>
      </w:r>
      <w:r>
        <w:rPr>
          <w:b/>
          <w:color w:val="222222"/>
          <w:sz w:val="21"/>
        </w:rPr>
        <w:t>Sourcing caveat (post adversarial review): these are analyst summary notes (bulleted recaps cross-checked against the 10-Q), not verbatim speaker-by-speaker transcripts.</w:t>
      </w:r>
      <w:r>
        <w:rPr>
          <w:color w:val="222222"/>
          <w:sz w:val="21"/>
        </w:rPr>
        <w:t xml:space="preserve"> The Ilan quotes used in this memo ("almost every analog socket on these racks," "$8 FCF/share very probable," DC +90% YoY) all appear word-for-word in the Q1 FY26 summary note and are consistent with the 10-Q, but a primary verbatim transcript is not on file — if a PM needs the exact original wording confirmed, pull the primary transcript before relying on the quote in a written deliverable.</w:t>
      </w:r>
    </w:p>
    <w:p>
      <w:pPr>
        <w:spacing w:after="120"/>
      </w:pPr>
      <w:r>
        <w:rPr>
          <w:b/>
          <w:color w:val="222222"/>
          <w:sz w:val="21"/>
        </w:rPr>
        <w:t>Equity calls:</w:t>
      </w:r>
      <w:r>
        <w:rPr>
          <w:color w:val="222222"/>
          <w:sz w:val="21"/>
        </w:rPr>
        <w:t xml:space="preserve"> Citi 800V expert (2026-06-16); JPM AI-power pitch / spec sales (2026-06-11); UBS/Arcuri TXN callback (2026-04-23); BofA/Arya TXN analog (2026-04-23); UBS 800V-power (2026-05-14).</w:t>
      </w:r>
    </w:p>
    <w:p>
      <w:pPr>
        <w:spacing w:after="120"/>
      </w:pPr>
      <w:r>
        <w:rPr>
          <w:b/>
          <w:color w:val="222222"/>
          <w:sz w:val="21"/>
        </w:rPr>
        <w:t>Research / briefings:</w:t>
      </w:r>
      <w:r>
        <w:rPr>
          <w:color w:val="222222"/>
          <w:sz w:val="21"/>
        </w:rPr>
        <w:t xml:space="preserve"> BofA/Arya "Watts to Tokens" (2026-05-25, PO $320→$370); JPM/Deshpande "First Principles — AI Power" (2026-06-25); Citi "800V power" (2026-06-15, PT $345); UBS "Data Centre Central: 800VDC looming faster" (2026-06-22); Jefferies "Analog Semis" (Menon, 2026-06-03); JPM/Sur "Semis spring update" (2026-05-29); AlphaSense IFX Primer (2026-06-22); @bubbleboi (briefing 2026-06-15); @QQ_Timmy (briefing 2026-06-20); GS/Schneider (2026-05-20); DB/Seymore (2026-06-03); Redburn/Adley (2026-05-12).</w:t>
      </w:r>
    </w:p>
    <w:p>
      <w:pPr>
        <w:spacing w:after="120"/>
      </w:pPr>
      <w:r>
        <w:rPr>
          <w:b/>
          <w:color w:val="222222"/>
          <w:sz w:val="21"/>
        </w:rPr>
        <w:t>Model:</w:t>
      </w:r>
      <w:r>
        <w:rPr>
          <w:color w:val="222222"/>
          <w:sz w:val="21"/>
        </w:rPr>
        <w:t xml:space="preserve"> </w:t>
      </w:r>
      <w:r>
        <w:rPr>
          <w:rFonts w:ascii="Consolas" w:hAnsi="Consolas"/>
          <w:color w:val="222222"/>
          <w:sz w:val="20"/>
        </w:rPr>
        <w:t>_wiki/_models/TXN_bottom_up_model.xlsx</w:t>
      </w:r>
      <w:r>
        <w:rPr>
          <w:color w:val="222222"/>
          <w:sz w:val="21"/>
        </w:rPr>
        <w:t xml:space="preserve"> (build 2026-07-01) — CY26E revenue $20,795m, CY27E $24,606m, CY26 Analog ~$16,995m.</w:t>
      </w:r>
    </w:p>
    <w:p>
      <w:pPr>
        <w:spacing w:after="120"/>
      </w:pPr>
      <w:r>
        <w:rPr>
          <w:b/>
          <w:color w:val="222222"/>
          <w:sz w:val="21"/>
        </w:rPr>
        <w:t>Theme:</w:t>
      </w:r>
      <w:r>
        <w:rPr>
          <w:color w:val="222222"/>
          <w:sz w:val="21"/>
        </w:rPr>
        <w:t xml:space="preserve"> </w:t>
      </w:r>
      <w:r>
        <w:rPr>
          <w:rFonts w:ascii="Consolas" w:hAnsi="Consolas"/>
          <w:color w:val="222222"/>
          <w:sz w:val="20"/>
        </w:rPr>
        <w:t>_wiki/themes/800v-dc-power.md</w:t>
      </w:r>
      <w:r>
        <w:rPr>
          <w:color w:val="222222"/>
          <w:sz w:val="21"/>
        </w:rPr>
        <w:t xml:space="preserve"> — TAM sizing, phased timeline, who's-exposed peer map.</w:t>
      </w:r>
    </w:p>
    <w:p>
      <w:pPr>
        <w:spacing w:after="120"/>
      </w:pPr>
      <w:r>
        <w:rPr>
          <w:b/>
          <w:color w:val="222222"/>
          <w:sz w:val="21"/>
        </w:rPr>
        <w:t>BBG consensus:</w:t>
      </w:r>
      <w:r>
        <w:rPr>
          <w:color w:val="222222"/>
          <w:sz w:val="21"/>
        </w:rPr>
        <w:t xml:space="preserve"> </w:t>
      </w:r>
      <w:r>
        <w:rPr>
          <w:rFonts w:ascii="Consolas" w:hAnsi="Consolas"/>
          <w:color w:val="222222"/>
          <w:sz w:val="20"/>
        </w:rPr>
        <w:t>_wiki/_data/estimates.json</w:t>
      </w:r>
      <w:r>
        <w:rPr>
          <w:color w:val="222222"/>
          <w:sz w:val="21"/>
        </w:rPr>
        <w:t xml:space="preserve"> (asof 2026-07-01) — CY27 EPS $9.02, CY26 EPS $7.48, cited price $298.41. </w:t>
      </w:r>
      <w:r>
        <w:rPr>
          <w:b/>
          <w:color w:val="222222"/>
          <w:sz w:val="21"/>
        </w:rPr>
        <w:t>The Capstone VPN was down for part of this build; a live BBG re-pull could not be completed</w:t>
      </w:r>
      <w:r>
        <w:rPr>
          <w:color w:val="222222"/>
          <w:sz w:val="21"/>
        </w:rPr>
        <w:t xml:space="preserve"> — the cached 2026-07-01 snapshot matches the memo's figures, but the next-earnings-date claim (~2026-07-22) and the live PT/rec distribution behind "the Street stance" should be reconfirmed with a live pull before this informs a trade.</w:t>
      </w:r>
    </w:p>
    <w:p>
      <w:pPr>
        <w:spacing w:after="120"/>
      </w:pPr>
      <w:r>
        <w:rPr>
          <w:b/>
          <w:color w:val="222222"/>
          <w:sz w:val="21"/>
        </w:rPr>
        <w:t>ADVERSARIAL REVIEW COMPLETE (2026-07-01) — verdict PARTIAL→FIXED.</w:t>
      </w:r>
      <w:r>
        <w:rPr>
          <w:color w:val="222222"/>
          <w:sz w:val="21"/>
        </w:rPr>
        <w:t xml:space="preserve"> The double-check skeptic found the work well-sourced (every load-bearing quote and filing figure verified verbatim against primary documents, including a page-by-page read of the BofA report image) but caught one reproducible arithmetic error and several attribution issues, all corrected in this version:</w:t>
      </w:r>
    </w:p>
    <w:p>
      <w:pPr>
        <w:spacing w:after="120"/>
      </w:pPr>
      <w:r>
        <w:rPr>
          <w:color w:val="222222"/>
          <w:sz w:val="21"/>
        </w:rPr>
        <w:t xml:space="preserve">1. </w:t>
      </w:r>
      <w:r>
        <w:rPr>
          <w:b/>
          <w:color w:val="222222"/>
          <w:sz w:val="21"/>
        </w:rPr>
        <w:t>Fixed:</w:t>
      </w:r>
      <w:r>
        <w:rPr>
          <w:color w:val="222222"/>
          <w:sz w:val="21"/>
        </w:rPr>
        <w:t xml:space="preserve"> Bull-case EPS accretion was arithmetically wrong (printed +$1.31/+$2.38, which implies ~42% margin — the Base margin — not the stated 50% Bull margin). Recomputed from the memo's own formula at 50%: </w:t>
      </w:r>
      <w:r>
        <w:rPr>
          <w:b/>
          <w:color w:val="222222"/>
          <w:sz w:val="21"/>
        </w:rPr>
        <w:t>+$1.56 (CY27) / +$2.84 (CY28)</w:t>
      </w:r>
      <w:r>
        <w:rPr>
          <w:color w:val="222222"/>
          <w:sz w:val="21"/>
        </w:rPr>
        <w:t>. Bear and Base rows were verified correct and are unchanged.</w:t>
      </w:r>
    </w:p>
    <w:p>
      <w:pPr>
        <w:spacing w:after="120"/>
      </w:pPr>
      <w:r>
        <w:rPr>
          <w:color w:val="222222"/>
          <w:sz w:val="21"/>
        </w:rPr>
        <w:t xml:space="preserve">2. </w:t>
      </w:r>
      <w:r>
        <w:rPr>
          <w:b/>
          <w:color w:val="222222"/>
          <w:sz w:val="21"/>
        </w:rPr>
        <w:t>Fixed:</w:t>
      </w:r>
      <w:r>
        <w:rPr>
          <w:color w:val="222222"/>
          <w:sz w:val="21"/>
        </w:rPr>
        <w:t xml:space="preserve"> BofA source was mistitled "Watts to Tokens" (an earlier, different BofA note); corrected to the actual report title, "AI Power Semis: Top picks are TXN, ADI, and ON for the 800V era" (Vivek Arya, 2026-05-25) — the date, analyst, and every cited figure from this report were independently verified against the source image.</w:t>
      </w:r>
    </w:p>
    <w:p>
      <w:pPr>
        <w:spacing w:after="120"/>
      </w:pPr>
      <w:r>
        <w:rPr>
          <w:color w:val="222222"/>
          <w:sz w:val="21"/>
        </w:rPr>
        <w:t xml:space="preserve">3. </w:t>
      </w:r>
      <w:r>
        <w:rPr>
          <w:b/>
          <w:color w:val="222222"/>
          <w:sz w:val="21"/>
        </w:rPr>
        <w:t>Added:</w:t>
      </w:r>
      <w:r>
        <w:rPr>
          <w:color w:val="222222"/>
          <w:sz w:val="21"/>
        </w:rPr>
        <w:t xml:space="preserve"> an acquisition-dilution caveat (§3.3) — flat share count is conservative on buybacks but not on the pending Silicon Labs deal.</w:t>
      </w:r>
    </w:p>
    <w:p>
      <w:pPr>
        <w:spacing w:after="120"/>
      </w:pPr>
      <w:r>
        <w:rPr>
          <w:color w:val="222222"/>
          <w:sz w:val="21"/>
        </w:rPr>
        <w:t xml:space="preserve">4. </w:t>
      </w:r>
      <w:r>
        <w:rPr>
          <w:b/>
          <w:color w:val="222222"/>
          <w:sz w:val="21"/>
        </w:rPr>
        <w:t>Added:</w:t>
      </w:r>
      <w:r>
        <w:rPr>
          <w:color w:val="222222"/>
          <w:sz w:val="21"/>
        </w:rPr>
        <w:t xml:space="preserve"> honest labeling that the on-file "transcripts" are analyst summary notes, not verbatim (Sources section) — the quotes used are supported by these notes and consistent with the 10-Q, but not confirmed against a primary verbatim transcript.</w:t>
      </w:r>
    </w:p>
    <w:p>
      <w:pPr>
        <w:spacing w:after="120"/>
      </w:pPr>
      <w:r>
        <w:rPr>
          <w:color w:val="222222"/>
          <w:sz w:val="21"/>
        </w:rPr>
        <w:t xml:space="preserve">5. </w:t>
      </w:r>
      <w:r>
        <w:rPr>
          <w:b/>
          <w:color w:val="222222"/>
          <w:sz w:val="21"/>
        </w:rPr>
        <w:t>Added:</w:t>
      </w:r>
      <w:r>
        <w:rPr>
          <w:color w:val="222222"/>
          <w:sz w:val="21"/>
        </w:rPr>
        <w:t xml:space="preserve"> the underlying revenue model's own "CY27 directional, not precise" caveat, carried into the Analog-segment guardrail (§3.7).</w:t>
      </w:r>
    </w:p>
    <w:p>
      <w:pPr>
        <w:spacing w:after="120"/>
      </w:pPr>
      <w:r>
        <w:rPr>
          <w:color w:val="222222"/>
          <w:sz w:val="21"/>
        </w:rPr>
        <w:t xml:space="preserve">6. </w:t>
      </w:r>
      <w:r>
        <w:rPr>
          <w:b/>
          <w:color w:val="222222"/>
          <w:sz w:val="21"/>
        </w:rPr>
        <w:t>Open item, not fixable offline:</w:t>
      </w:r>
      <w:r>
        <w:rPr>
          <w:color w:val="222222"/>
          <w:sz w:val="21"/>
        </w:rPr>
        <w:t xml:space="preserve"> live BBG re-pull pending VPN reconnection (see BBG consensus line above).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