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an</w:t>
      </w:r>
      <w:r>
        <w:t xml:space="preserve"> </w:t>
      </w:r>
      <w:r>
        <w:t xml:space="preserve">Abstract</w:t>
      </w:r>
      <w:r>
        <w:t xml:space="preserve"> </w:t>
      </w:r>
      <w:r>
        <w:t xml:space="preserve">for</w:t>
      </w:r>
      <w:r>
        <w:t xml:space="preserve"> </w:t>
      </w:r>
      <w:r>
        <w:t xml:space="preserve">STATGEN2024</w:t>
      </w:r>
    </w:p>
    <w:p>
      <w:pPr>
        <w:pStyle w:val="BlockText"/>
      </w:pPr>
      <w:r>
        <w:t xml:space="preserve">Presentation title:</w:t>
      </w:r>
    </w:p>
    <w:p>
      <w:pPr>
        <w:pStyle w:val="FirstParagraph"/>
      </w:pPr>
      <w:r>
        <w:t xml:space="preserve">Assessing the Evidence for a Causal Effect of Fibromuscular Dysplasia on Chronic Kidney and Biomarkers of Kidney Function: A Mendelian Randomization Study</w:t>
      </w:r>
    </w:p>
    <w:p>
      <w:pPr>
        <w:pStyle w:val="BlockText"/>
      </w:pPr>
      <w:r>
        <w:t xml:space="preserve">Abstract (max 1200 characters):</w:t>
      </w:r>
    </w:p>
    <w:p>
      <w:pPr>
        <w:pStyle w:val="FirstParagraph"/>
      </w:pPr>
      <w:r>
        <w:t xml:space="preserve">Fibromuscular dysplasia (FMD) is a noninflammatory and nonatherosclerotic disease of artery walls that often affects medium-sized artery beds, including those of the renal arteries</w:t>
      </w:r>
      <w:r>
        <w:rPr>
          <w:vertAlign w:val="superscript"/>
        </w:rPr>
        <w:t xml:space="preserve">1–3</w:t>
      </w:r>
      <w:r>
        <w:t xml:space="preserve">.</w:t>
      </w:r>
      <w:r>
        <w:t xml:space="preserve"> </w:t>
      </w:r>
      <w:r>
        <w:t xml:space="preserve">Multiple studies implicated renal artery FMD in impaired kidney function</w:t>
      </w:r>
      <w:r>
        <w:rPr>
          <w:vertAlign w:val="superscript"/>
        </w:rPr>
        <w:t xml:space="preserve">4–7</w:t>
      </w:r>
      <w:r>
        <w:t xml:space="preserve">. We sought to quantify</w:t>
      </w:r>
      <w:r>
        <w:t xml:space="preserve"> </w:t>
      </w:r>
      <w:r>
        <w:t xml:space="preserve">causal effects of FMD on chronic kidney disease (CKD) in a two-sample Mendelian randomization study with GWAS summary statistics.</w:t>
      </w:r>
      <w:r>
        <w:t xml:space="preserve"> </w:t>
      </w:r>
      <w:r>
        <w:t xml:space="preserve">We used genetic instruments for FMD from a meta-analysis of six genome-wide association studies of multifocal FMD</w:t>
      </w:r>
      <w:r>
        <w:rPr>
          <w:vertAlign w:val="superscript"/>
        </w:rPr>
        <w:t xml:space="preserve">8</w:t>
      </w:r>
      <w:r>
        <w:t xml:space="preserve">.</w:t>
      </w:r>
      <w:r>
        <w:t xml:space="preserve"> </w:t>
      </w:r>
      <w:r>
        <w:t xml:space="preserve">For each putative outcome variable, we performed a two-sample Mendelian randomization analysis with inverse-variance weighted, weighted median, MR-Egger, weighted mode, and simple mode methods. We obtained association effect estimates for putative outcomes from publicly available summary statistics from UK Biobank GWAS</w:t>
      </w:r>
      <w:r>
        <w:rPr>
          <w:vertAlign w:val="superscript"/>
        </w:rPr>
        <w:t xml:space="preserve">9</w:t>
      </w:r>
      <w:r>
        <w:t xml:space="preserve">.</w:t>
      </w:r>
      <w:r>
        <w:t xml:space="preserve"> </w:t>
      </w:r>
      <w:r>
        <w:t xml:space="preserve">We considered three different p-value thresholds when choosing relevant SNP instruments for MR analyses. All five methods showed no evidence of a causal effect of FMD on CKD. To further evaluate our findings, we performed sensitivity analyses to assess evidence of horizontal pleiotropy and other sources of confounding</w:t>
      </w:r>
      <w:r>
        <w:rPr>
          <w:vertAlign w:val="superscript"/>
        </w:rPr>
        <w:t xml:space="preserve">10,11</w:t>
      </w:r>
      <w:r>
        <w:t xml:space="preserve">.</w:t>
      </w:r>
    </w:p>
    <w:bookmarkStart w:id="32" w:name="references"/>
    <w:p>
      <w:pPr>
        <w:pStyle w:val="Heading2"/>
      </w:pPr>
      <w:r>
        <w:t xml:space="preserve">References</w:t>
      </w:r>
    </w:p>
    <w:bookmarkStart w:id="31" w:name="refs"/>
    <w:bookmarkStart w:id="20" w:name="ref-olin2011diagnos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Olin, J. W. &amp; Sealove, B. A. Diagnosis, management, and future developments of fibromuscular dysplasia.</w:t>
      </w:r>
      <w:r>
        <w:t xml:space="preserve"> </w:t>
      </w:r>
      <w:r>
        <w:rPr>
          <w:iCs/>
          <w:i/>
        </w:rPr>
        <w:t xml:space="preserve">Journal of vascular surgery</w:t>
      </w:r>
      <w:r>
        <w:t xml:space="preserve"> </w:t>
      </w:r>
      <w:r>
        <w:rPr>
          <w:bCs/>
          <w:b/>
        </w:rPr>
        <w:t xml:space="preserve">53</w:t>
      </w:r>
      <w:r>
        <w:t xml:space="preserve">, 826–836 (2011).</w:t>
      </w:r>
    </w:p>
    <w:bookmarkEnd w:id="20"/>
    <w:bookmarkStart w:id="21" w:name="ref-mousa2013renal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Mousa, A. Y. &amp; Gill, G. Renal fibromuscular dysplasia. in</w:t>
      </w:r>
      <w:r>
        <w:t xml:space="preserve"> </w:t>
      </w:r>
      <w:r>
        <w:rPr>
          <w:iCs/>
          <w:i/>
        </w:rPr>
        <w:t xml:space="preserve">Seminars in vascular surgery</w:t>
      </w:r>
      <w:r>
        <w:t xml:space="preserve"> </w:t>
      </w:r>
      <w:r>
        <w:t xml:space="preserve">vol. 26 213–218 (Elsevier, 2013).</w:t>
      </w:r>
    </w:p>
    <w:bookmarkEnd w:id="21"/>
    <w:bookmarkStart w:id="22" w:name="ref-sang1989etiologic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Sang, C. N.</w:t>
      </w:r>
      <w:r>
        <w:t xml:space="preserve"> </w:t>
      </w:r>
      <w:r>
        <w:rPr>
          <w:iCs/>
          <w:i/>
        </w:rPr>
        <w:t xml:space="preserve">et al.</w:t>
      </w:r>
      <w:r>
        <w:t xml:space="preserve"> Etiologic factors in renovascular fibromuscular dysplasia. A case-control study.</w:t>
      </w:r>
      <w:r>
        <w:t xml:space="preserve"> </w:t>
      </w:r>
      <w:r>
        <w:rPr>
          <w:iCs/>
          <w:i/>
        </w:rPr>
        <w:t xml:space="preserve">Hypertension</w:t>
      </w:r>
      <w:r>
        <w:t xml:space="preserve"> </w:t>
      </w:r>
      <w:r>
        <w:rPr>
          <w:bCs/>
          <w:b/>
        </w:rPr>
        <w:t xml:space="preserve">14</w:t>
      </w:r>
      <w:r>
        <w:t xml:space="preserve">, 472–479 (1989).</w:t>
      </w:r>
    </w:p>
    <w:bookmarkEnd w:id="22"/>
    <w:bookmarkStart w:id="23" w:name="ref-hunt1965hypertensio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Hunt, J. C.</w:t>
      </w:r>
      <w:r>
        <w:t xml:space="preserve"> </w:t>
      </w:r>
      <w:r>
        <w:rPr>
          <w:iCs/>
          <w:i/>
        </w:rPr>
        <w:t xml:space="preserve">et al.</w:t>
      </w:r>
      <w:r>
        <w:t xml:space="preserve"> Hypertension caused by fibromuscular dysplasia of the renal arteries.</w:t>
      </w:r>
      <w:r>
        <w:t xml:space="preserve"> </w:t>
      </w:r>
      <w:r>
        <w:rPr>
          <w:iCs/>
          <w:i/>
        </w:rPr>
        <w:t xml:space="preserve">Postgraduate Medicine</w:t>
      </w:r>
      <w:r>
        <w:t xml:space="preserve"> </w:t>
      </w:r>
      <w:r>
        <w:rPr>
          <w:bCs/>
          <w:b/>
        </w:rPr>
        <w:t xml:space="preserve">38</w:t>
      </w:r>
      <w:r>
        <w:t xml:space="preserve">, 53–63 (1965).</w:t>
      </w:r>
    </w:p>
    <w:bookmarkEnd w:id="23"/>
    <w:bookmarkStart w:id="24" w:name="ref-oliva2018kidneys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Oliva-Damaso, N.</w:t>
      </w:r>
      <w:r>
        <w:t xml:space="preserve"> </w:t>
      </w:r>
      <w:r>
        <w:rPr>
          <w:iCs/>
          <w:i/>
        </w:rPr>
        <w:t xml:space="preserve">et al.</w:t>
      </w:r>
      <w:r>
        <w:t xml:space="preserve"> Kidneys are key in secondary hypertension: A case of fibromuscular dysplasia.</w:t>
      </w:r>
      <w:r>
        <w:t xml:space="preserve"> </w:t>
      </w:r>
      <w:r>
        <w:rPr>
          <w:iCs/>
          <w:i/>
        </w:rPr>
        <w:t xml:space="preserve">The Lancet</w:t>
      </w:r>
      <w:r>
        <w:t xml:space="preserve"> </w:t>
      </w:r>
      <w:r>
        <w:rPr>
          <w:bCs/>
          <w:b/>
        </w:rPr>
        <w:t xml:space="preserve">392</w:t>
      </w:r>
      <w:r>
        <w:t xml:space="preserve">, 2298 (2018).</w:t>
      </w:r>
    </w:p>
    <w:bookmarkEnd w:id="24"/>
    <w:bookmarkStart w:id="25" w:name="ref-mounier2002parenchymal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Mounier-Vehier, C.</w:t>
      </w:r>
      <w:r>
        <w:t xml:space="preserve"> </w:t>
      </w:r>
      <w:r>
        <w:rPr>
          <w:iCs/>
          <w:i/>
        </w:rPr>
        <w:t xml:space="preserve">et al.</w:t>
      </w:r>
      <w:r>
        <w:t xml:space="preserve"> Parenchymal consequences of fibromuscular dysplasia renal artery stenosis.</w:t>
      </w:r>
      <w:r>
        <w:t xml:space="preserve"> </w:t>
      </w:r>
      <w:r>
        <w:rPr>
          <w:iCs/>
          <w:i/>
        </w:rPr>
        <w:t xml:space="preserve">American journal of kidney diseases</w:t>
      </w:r>
      <w:r>
        <w:t xml:space="preserve"> </w:t>
      </w:r>
      <w:r>
        <w:rPr>
          <w:bCs/>
          <w:b/>
        </w:rPr>
        <w:t xml:space="preserve">40</w:t>
      </w:r>
      <w:r>
        <w:t xml:space="preserve">, 1138–1145 (2002).</w:t>
      </w:r>
    </w:p>
    <w:bookmarkEnd w:id="25"/>
    <w:bookmarkStart w:id="26" w:name="ref-van2018renal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Twist, D. J. van, Leeuw, P. W. de &amp; Kroon, A. A. Renal artery fibromuscular dysplasia and its effect on the kidney.</w:t>
      </w:r>
      <w:r>
        <w:t xml:space="preserve"> </w:t>
      </w:r>
      <w:r>
        <w:rPr>
          <w:iCs/>
          <w:i/>
        </w:rPr>
        <w:t xml:space="preserve">Hypertension Research</w:t>
      </w:r>
      <w:r>
        <w:t xml:space="preserve"> </w:t>
      </w:r>
      <w:r>
        <w:rPr>
          <w:bCs/>
          <w:b/>
        </w:rPr>
        <w:t xml:space="preserve">41</w:t>
      </w:r>
      <w:r>
        <w:t xml:space="preserve">, 639–648 (2018).</w:t>
      </w:r>
    </w:p>
    <w:bookmarkEnd w:id="26"/>
    <w:bookmarkStart w:id="27" w:name="ref-georges2021genetic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Georges, A.</w:t>
      </w:r>
      <w:r>
        <w:t xml:space="preserve"> </w:t>
      </w:r>
      <w:r>
        <w:rPr>
          <w:iCs/>
          <w:i/>
        </w:rPr>
        <w:t xml:space="preserve">et al.</w:t>
      </w:r>
      <w:r>
        <w:t xml:space="preserve"> Genetic investigation of fibromuscular dysplasia identifies risk loci and shared genetics with common cardiovascular diseases.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rPr>
          <w:bCs/>
          <w:b/>
        </w:rPr>
        <w:t xml:space="preserve">12</w:t>
      </w:r>
      <w:r>
        <w:t xml:space="preserve">, 6031 (2021).</w:t>
      </w:r>
    </w:p>
    <w:bookmarkEnd w:id="27"/>
    <w:bookmarkStart w:id="28" w:name="ref-neale_lab_gwas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UK biobank GWAS. (2018).</w:t>
      </w:r>
    </w:p>
    <w:bookmarkEnd w:id="28"/>
    <w:bookmarkStart w:id="29" w:name="ref-skrivankova2021strengthening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Skrivankova, V. W.</w:t>
      </w:r>
      <w:r>
        <w:t xml:space="preserve"> </w:t>
      </w:r>
      <w:r>
        <w:rPr>
          <w:iCs/>
          <w:i/>
        </w:rPr>
        <w:t xml:space="preserve">et al.</w:t>
      </w:r>
      <w:r>
        <w:t xml:space="preserve"> Strengthening the reporting of observational studies in epidemiology using mendelian randomization: The STROBE-MR statement.</w:t>
      </w:r>
      <w:r>
        <w:t xml:space="preserve"> </w:t>
      </w:r>
      <w:r>
        <w:rPr>
          <w:iCs/>
          <w:i/>
        </w:rPr>
        <w:t xml:space="preserve">Jama</w:t>
      </w:r>
      <w:r>
        <w:t xml:space="preserve"> </w:t>
      </w:r>
      <w:r>
        <w:rPr>
          <w:bCs/>
          <w:b/>
        </w:rPr>
        <w:t xml:space="preserve">326</w:t>
      </w:r>
      <w:r>
        <w:t xml:space="preserve">, 1614–1621 (2021).</w:t>
      </w:r>
    </w:p>
    <w:bookmarkEnd w:id="29"/>
    <w:bookmarkStart w:id="30" w:name="ref-burgess2017sensitivity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Burgess, S., Bowden, J., Fall, T., Ingelsson, E. &amp; Thompson, S. G. Sensitivity analyses for robust causal inference from mendelian randomization analyses with multiple genetic variants.</w:t>
      </w:r>
      <w:r>
        <w:t xml:space="preserve"> </w:t>
      </w:r>
      <w:r>
        <w:rPr>
          <w:iCs/>
          <w:i/>
        </w:rPr>
        <w:t xml:space="preserve">Epidemiology</w:t>
      </w:r>
      <w:r>
        <w:t xml:space="preserve"> </w:t>
      </w:r>
      <w:r>
        <w:rPr>
          <w:bCs/>
          <w:b/>
        </w:rPr>
        <w:t xml:space="preserve">28</w:t>
      </w:r>
      <w:r>
        <w:t xml:space="preserve">, 30–42 (2017).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an Abstract for STATGEN2024</dc:title>
  <dc:creator/>
  <cp:keywords/>
  <dcterms:created xsi:type="dcterms:W3CDTF">2024-03-14T13:50:13Z</dcterms:created>
  <dcterms:modified xsi:type="dcterms:W3CDTF">2024-03-14T13:50:13Z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my.bib</vt:lpwstr>
  </property>
  <property fmtid="{D5CDD505-2E9C-101B-9397-08002B2CF9AE}" pid="4" name="csl">
    <vt:lpwstr>nature.csl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