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2020-06-07 13:12:18.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framework for undergraduate research projects with Twitter data. We draw on experiences mentoring two students during</w:t>
      </w:r>
      <w:r>
        <w:t xml:space="preserve"> </w:t>
      </w:r>
      <w:r>
        <w:t xml:space="preserve">an academic year.</w:t>
      </w:r>
      <w:r>
        <w:t xml:space="preserve"> </w:t>
      </w:r>
      <w:r>
        <w:t xml:space="preserve">Leveraging backward design principles, we share our learning objectives and</w:t>
      </w:r>
      <w:r>
        <w:t xml:space="preserve"> </w:t>
      </w:r>
      <w:r>
        <w:t xml:space="preserve">rubric for summative assessments.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the needed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guided two statistics students in their senior research projects.</w:t>
      </w:r>
      <w:r>
        <w:t xml:space="preserve"> </w:t>
      </w:r>
      <w:r>
        <w:t xml:space="preserve">Both students used tweets to address novel research questions. We</w:t>
      </w:r>
      <w:r>
        <w:t xml:space="preserve"> </w:t>
      </w:r>
      <w:r>
        <w:t xml:space="preserve">share products of their research in supplementary files. Because</w:t>
      </w:r>
      <w:r>
        <w:t xml:space="preserve"> </w:t>
      </w:r>
      <w:r>
        <w:t xml:space="preserve">their data are no longer available, we present as a case study one</w:t>
      </w:r>
      <w:r>
        <w:t xml:space="preserve"> </w:t>
      </w:r>
      <w:r>
        <w:t xml:space="preserve">analysis with tweets from May 2020. We share our data and computer</w:t>
      </w:r>
      <w:r>
        <w:t xml:space="preserve"> </w:t>
      </w:r>
      <w:r>
        <w:t xml:space="preserve">code to encourage others to undertake</w:t>
      </w:r>
      <w:r>
        <w:t xml:space="preserve"> </w:t>
      </w:r>
      <w:r>
        <w:t xml:space="preserve">tweet text analysis research. We also describe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</w:t>
      </w:r>
      <w:r>
        <w:t xml:space="preserve"> </w:t>
      </w:r>
      <w:r>
        <w:t xml:space="preserve">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</w:t>
      </w:r>
      <w:r>
        <w:t xml:space="preserve"> </w:t>
      </w:r>
      <w:r>
        <w:t xml:space="preserve">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Studies of Twitter conversations have yielded valuable insights into</w:t>
      </w:r>
      <w:r>
        <w:t xml:space="preserve"> </w:t>
      </w:r>
      <w:r>
        <w:t xml:space="preserve">modern culture. Using large collections of tweets, scholars have</w:t>
      </w:r>
      <w:r>
        <w:t xml:space="preserve"> </w:t>
      </w:r>
      <w:r>
        <w:t xml:space="preserve">investigated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</w:t>
      </w:r>
      <w:r>
        <w:t xml:space="preserve"> </w:t>
      </w:r>
      <w:r>
        <w:t xml:space="preserve">We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</w:t>
      </w:r>
    </w:p>
    <w:p>
      <w:pPr>
        <w:pStyle w:val="BodyText"/>
      </w:pPr>
      <w:r>
        <w:t xml:space="preserve">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ideas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</w:p>
    <w:p>
      <w:pPr>
        <w:pStyle w:val="BodyText"/>
      </w:pPr>
      <w:r>
        <w:t xml:space="preserve">We note that nearly all of the skills in Table</w:t>
      </w:r>
      <w:r>
        <w:t xml:space="preserve"> </w:t>
      </w:r>
      <w:r>
        <w:t xml:space="preserve">??</w:t>
      </w:r>
      <w:r>
        <w:t xml:space="preserve"> </w:t>
      </w:r>
      <w:r>
        <w:t xml:space="preserve">are</w:t>
      </w:r>
      <w:r>
        <w:t xml:space="preserve"> </w:t>
      </w:r>
      <w:r>
        <w:t xml:space="preserve">transferable in that they apply not merely to the thesis projects, but also to</w:t>
      </w:r>
      <w:r>
        <w:t xml:space="preserve"> </w:t>
      </w:r>
      <w:r>
        <w:t xml:space="preserve">data science research in general.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??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 with formative and summative strategies.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developed research goals with students in a series of discussions. As trainees began their senior research projects, we spoke in detail about: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BodyText"/>
      </w:pPr>
      <w:r>
        <w:t xml:space="preserve">Our data science projects required that students possess elementary R computing</w:t>
      </w:r>
      <w:r>
        <w:t xml:space="preserve"> </w:t>
      </w:r>
      <w:r>
        <w:t xml:space="preserve">skills. We guided students towards supplementary R computing resources, including</w:t>
      </w:r>
      <w:r>
        <w:t xml:space="preserve"> </w:t>
      </w:r>
      <w:r>
        <w:t xml:space="preserve">the online books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(Wickham and Grolemund 2016)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Advanced R</w:t>
      </w:r>
      <w:r>
        <w:t xml:space="preserve">”</w:t>
      </w:r>
      <w:r>
        <w:t xml:space="preserve"> </w:t>
      </w:r>
      <w:r>
        <w:t xml:space="preserve">(Wickham 2019)</w:t>
      </w:r>
      <w:r>
        <w:t xml:space="preserve">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 (Supplemental files).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BodyText"/>
      </w:pPr>
      <w:r>
        <w:t xml:space="preserve">We 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similar.</w:t>
      </w:r>
    </w:p>
    <w:p>
      <w:pPr>
        <w:pStyle w:val="Heading1"/>
      </w:pPr>
      <w:bookmarkStart w:id="29" w:name="case-study-methods"/>
      <w:r>
        <w:t xml:space="preserve">Case study methods</w:t>
      </w:r>
      <w:bookmarkEnd w:id="29"/>
    </w:p>
    <w:p>
      <w:pPr>
        <w:pStyle w:val="FirstParagraph"/>
      </w:pPr>
      <w:r>
        <w:t xml:space="preserve">To illustrate the value of Twitter data, we present below a</w:t>
      </w:r>
      <w:r>
        <w:t xml:space="preserve"> </w:t>
      </w:r>
      <w:r>
        <w:t xml:space="preserve">reproducible case study. In it, we aim to detect a social media</w:t>
      </w:r>
      <w:r>
        <w:t xml:space="preserve"> </w:t>
      </w:r>
      <w:r>
        <w:t xml:space="preserve">event by examining topic content over time. We use latent Dirichlet</w:t>
      </w:r>
      <w:r>
        <w:t xml:space="preserve"> </w:t>
      </w:r>
      <w:r>
        <w:t xml:space="preserve">allocation models to infer topics on three consecutive days centered</w:t>
      </w:r>
      <w:r>
        <w:t xml:space="preserve"> </w:t>
      </w:r>
      <w:r>
        <w:t xml:space="preserve">on Memorial Day 2020. We chose to use this example case study,</w:t>
      </w:r>
      <w:r>
        <w:t xml:space="preserve"> </w:t>
      </w:r>
      <w:r>
        <w:t xml:space="preserve">instead of the student projects, because of limited data</w:t>
      </w:r>
      <w:r>
        <w:t xml:space="preserve"> </w:t>
      </w:r>
      <w:r>
        <w:t xml:space="preserve">availability for the student projects. Despite this, the case study</w:t>
      </w:r>
      <w:r>
        <w:t xml:space="preserve"> </w:t>
      </w:r>
      <w:r>
        <w:t xml:space="preserve">illustrates the strategy and methods for one of the student</w:t>
      </w:r>
      <w:r>
        <w:t xml:space="preserve"> </w:t>
      </w:r>
      <w:r>
        <w:t xml:space="preserve">projects.</w:t>
      </w:r>
    </w:p>
    <w:p>
      <w:pPr>
        <w:pStyle w:val="Heading2"/>
      </w:pPr>
      <w:bookmarkStart w:id="30" w:name="case-study-design"/>
      <w:r>
        <w:t xml:space="preserve">Case study design</w:t>
      </w:r>
      <w:bookmarkEnd w:id="30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</w:t>
      </w:r>
      <w:r>
        <w:t xml:space="preserve"> </w:t>
      </w:r>
      <w:r>
        <w:t xml:space="preserve">we analyzed tweets before, during, and</w:t>
      </w:r>
      <w:r>
        <w:t xml:space="preserve"> </w:t>
      </w:r>
      <w:r>
        <w:t xml:space="preserve">after Memorial Day (May 25, 2020).</w:t>
      </w:r>
      <w:r>
        <w:t xml:space="preserve"> </w:t>
      </w:r>
      <w:r>
        <w:t xml:space="preserve">We fitted latent Dirichlet allocation models for each of three</w:t>
      </w:r>
      <w:r>
        <w:t xml:space="preserve"> </w:t>
      </w:r>
      <w:r>
        <w:t xml:space="preserve">distinct five-minute periods. The first period began at noon Eastern time</w:t>
      </w:r>
      <w:r>
        <w:t xml:space="preserve"> </w:t>
      </w:r>
      <w:r>
        <w:t xml:space="preserve">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</w:t>
      </w:r>
      <w:r>
        <w:t xml:space="preserve"> </w:t>
      </w:r>
      <w:r>
        <w:t xml:space="preserve">tweets.</w:t>
      </w:r>
    </w:p>
    <w:p>
      <w:pPr>
        <w:pStyle w:val="Heading2"/>
      </w:pPr>
      <w:bookmarkStart w:id="31" w:name="collecting-tweets-over-time"/>
      <w:r>
        <w:t xml:space="preserve">Collecting tweets over time</w:t>
      </w:r>
      <w:bookmarkEnd w:id="31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2" w:name="X44123c9c48896a94d09fe98af5f8466be162e8c"/>
      <w:r>
        <w:t xml:space="preserve">Querying Twitter API to get complete tweets</w:t>
      </w:r>
      <w:bookmarkEnd w:id="32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With a tweet</w:t>
      </w:r>
      <w:r>
        <w:t xml:space="preserve"> </w:t>
      </w:r>
      <w:r>
        <w:t xml:space="preserve">identification number, a user may query a Twitter API to obtain complete tweet data. In our</w:t>
      </w:r>
      <w:r>
        <w:t xml:space="preserve"> </w:t>
      </w:r>
      <w:r>
        <w:t xml:space="preserve">experience, this</w:t>
      </w:r>
      <w:r>
        <w:t xml:space="preserve"> </w:t>
      </w:r>
      <w:r>
        <w:t xml:space="preserve">process is incomplete; that is, many tweet identification numbers submitted to the Twitter API return</w:t>
      </w:r>
      <w:r>
        <w:t xml:space="preserve"> </w:t>
      </w:r>
      <w:r>
        <w:t xml:space="preserve">no data. Additionally, on repeated querying of the API, different sets of tweet identification numbers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 (Supplementary files). Should a reader wish to reproduce</w:t>
      </w:r>
      <w:r>
        <w:t xml:space="preserve"> </w:t>
      </w:r>
      <w:r>
        <w:t xml:space="preserve">our analysis, we anticipate that she will get complete tweet data</w:t>
      </w:r>
      <w:r>
        <w:t xml:space="preserve"> </w:t>
      </w:r>
      <w:r>
        <w:t xml:space="preserve">for all or most of these tweet identification numbers from the API. We provide</w:t>
      </w:r>
      <w:r>
        <w:t xml:space="preserve"> </w:t>
      </w:r>
      <w:r>
        <w:t xml:space="preserve">R code for this task in the supplementary files.</w:t>
      </w:r>
    </w:p>
    <w:p>
      <w:pPr>
        <w:pStyle w:val="Heading2"/>
      </w:pPr>
      <w:bookmarkStart w:id="33" w:name="tweet-structure"/>
      <w:r>
        <w:t xml:space="preserve">Tweet structure</w:t>
      </w:r>
      <w:bookmarkEnd w:id="33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(Supplementary files).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.</w:t>
      </w:r>
    </w:p>
    <w:p>
      <w:pPr>
        <w:pStyle w:val="Heading2"/>
      </w:pPr>
      <w:bookmarkStart w:id="34" w:name="parsing-tweet-text"/>
      <w:r>
        <w:t xml:space="preserve">Parsing tweet text</w:t>
      </w:r>
      <w:bookmarkEnd w:id="34"/>
    </w:p>
    <w:p>
      <w:pPr>
        <w:pStyle w:val="FirstParagraph"/>
      </w:pPr>
      <w:r>
        <w:t xml:space="preserve">The next task is to wrangle the tweet JSON into a data structure suitable for latent Dirichlet allocation modeling.</w:t>
      </w:r>
      <w:r>
        <w:t xml:space="preserve"> </w:t>
      </w: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5" w:name="latent-dirichlet-allocation"/>
      <w:r>
        <w:t xml:space="preserve">Latent Dirichlet allocation</w:t>
      </w:r>
      <w:bookmarkEnd w:id="35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</w:t>
      </w:r>
      <w:r>
        <w:t xml:space="preserve"> </w:t>
      </w:r>
      <w:r>
        <w:t xml:space="preserve">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models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</w:t>
      </w:r>
      <w:r>
        <w:t xml:space="preserve"> </w:t>
      </w:r>
      <w:r>
        <w:t xml:space="preserve">(Porteous et al. 2008)</w:t>
      </w:r>
      <w:r>
        <w:t xml:space="preserve">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below.</w:t>
      </w:r>
    </w:p>
    <w:p>
      <w:pPr>
        <w:pStyle w:val="Heading1"/>
      </w:pPr>
      <w:bookmarkStart w:id="36" w:name="case-study-results"/>
      <w:r>
        <w:t xml:space="preserve">Case study results</w:t>
      </w:r>
      <w:bookmarkEnd w:id="36"/>
    </w:p>
    <w:p>
      <w:pPr>
        <w:pStyle w:val="FirstParagraph"/>
      </w:pPr>
      <w:r>
        <w:t xml:space="preserve">We identified the top ten most probable terms for each of ten topics in our models</w:t>
      </w:r>
      <w:r>
        <w:t xml:space="preserve"> </w:t>
      </w:r>
      <w:r>
        <w:t xml:space="preserve">(Figures</w:t>
      </w:r>
      <w:r>
        <w:t xml:space="preserve"> </w:t>
      </w:r>
      <w:r>
        <w:t xml:space="preserve">1</w:t>
      </w:r>
      <w:r>
        <w:t xml:space="preserve">,</w:t>
      </w:r>
      <w:r>
        <w:t xml:space="preserve"> </w:t>
      </w:r>
      <w:r>
        <w:t xml:space="preserve">2</w:t>
      </w:r>
      <w:r>
        <w:t xml:space="preserve">,</w:t>
      </w:r>
      <w:r>
        <w:t xml:space="preserve"> </w:t>
      </w:r>
      <w:r>
        <w:t xml:space="preserve">3</w:t>
      </w:r>
      <w:r>
        <w:t xml:space="preserve">).</w:t>
      </w:r>
      <w:r>
        <w:t xml:space="preserve"> </w:t>
      </w:r>
      <w:r>
        <w:t xml:space="preserve">We plotted 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models. We also note, on May 26, topic 10, which reflects discussion of the Amy Cooper Central Park incident.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with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</w:t>
      </w:r>
      <w:r>
        <w:t xml:space="preserve"> </w:t>
      </w:r>
      <w:r>
        <w:t xml:space="preserve">challenges. We summatively assessed student achievement at the end of the academic year.</w:t>
      </w:r>
      <w:r>
        <w:t xml:space="preserve"> </w:t>
      </w:r>
      <w:r>
        <w:t xml:space="preserve">Both 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With future students, we will use a written rubric to evaluate</w:t>
      </w:r>
      <w:r>
        <w:t xml:space="preserve"> </w:t>
      </w:r>
      <w:r>
        <w:t xml:space="preserve">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Our mentoring in data science aligns with others’ calls to reconsider</w:t>
      </w:r>
      <w:r>
        <w:t xml:space="preserve"> </w:t>
      </w:r>
      <w:r>
        <w:t xml:space="preserve">the role of computing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training:</w:t>
      </w:r>
      <w:r>
        <w:t xml:space="preserve"> </w:t>
      </w:r>
      <w:r>
        <w:t xml:space="preserve">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research questions and of formulating research</w:t>
      </w:r>
      <w:r>
        <w:t xml:space="preserve"> </w:t>
      </w:r>
      <w:r>
        <w:t xml:space="preserve">questions,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Tweets over time are a rich, large,</w:t>
      </w:r>
      <w:r>
        <w:t xml:space="preserve"> </w:t>
      </w:r>
      <w:r>
        <w:t xml:space="preserve">authentic data set that offer many opportunities.</w:t>
      </w:r>
      <w:r>
        <w:t xml:space="preserve"> </w:t>
      </w:r>
      <w:r>
        <w:t xml:space="preserve">We provided instructions to enable readers to establish their own tweet collections.</w:t>
      </w:r>
      <w:r>
        <w:t xml:space="preserve"> </w:t>
      </w:r>
      <w:r>
        <w:t xml:space="preserve">We also presented details for one analysis strategy.</w:t>
      </w:r>
      <w:r>
        <w:t xml:space="preserve"> </w:t>
      </w:r>
      <w:r>
        <w:t xml:space="preserve">By considering first student research interests and integrating them with our</w:t>
      </w:r>
      <w:r>
        <w:t xml:space="preserve"> </w:t>
      </w:r>
      <w:r>
        <w:t xml:space="preserve">senior thesis learning objectives, we successfully guided two undergraduate</w:t>
      </w:r>
      <w:r>
        <w:t xml:space="preserve"> </w:t>
      </w:r>
      <w:r>
        <w:t xml:space="preserve">researchers in data science research with 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3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9"/>
    <w:bookmarkStart w:id="50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0"/>
    <w:bookmarkStart w:id="51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1"/>
    <w:bookmarkStart w:id="53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2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3"/>
    <w:bookmarkStart w:id="55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4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5"/>
    <w:bookmarkStart w:id="57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7"/>
    <w:bookmarkStart w:id="58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8"/>
    <w:bookmarkStart w:id="59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9"/>
    <w:bookmarkStart w:id="60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0"/>
    <w:bookmarkStart w:id="61" w:name="ref-porteous2008fast"/>
    <w:p>
      <w:pPr>
        <w:pStyle w:val="Bibliography"/>
      </w:pPr>
      <w:r>
        <w:t xml:space="preserve">Porteous, I., Newman, D., Ihler, A., Asuncion, A., Smyth, P., and Welling, M. (2008), “Fast collapsed gibbs sampling for latent dirichlet allocation,” in</w:t>
      </w:r>
      <w:r>
        <w:t xml:space="preserve"> </w:t>
      </w:r>
      <w:r>
        <w:rPr>
          <w:i/>
        </w:rPr>
        <w:t xml:space="preserve">Proceedings of the 14th acm sigkdd international conference on knowledge discovery and data mining</w:t>
      </w:r>
      <w:r>
        <w:t xml:space="preserve">, pp. 569–577.</w:t>
      </w:r>
    </w:p>
    <w:bookmarkEnd w:id="61"/>
    <w:bookmarkStart w:id="62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2"/>
    <w:bookmarkStart w:id="64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3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4"/>
    <w:bookmarkStart w:id="66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5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6"/>
    <w:bookmarkStart w:id="68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8"/>
    <w:bookmarkStart w:id="69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9"/>
    <w:bookmarkStart w:id="70" w:name="ref-wickham2019advanced"/>
    <w:p>
      <w:pPr>
        <w:pStyle w:val="Bibliography"/>
      </w:pPr>
      <w:r>
        <w:t xml:space="preserve">Wickham, H. (2019),</w:t>
      </w:r>
      <w:r>
        <w:t xml:space="preserve"> </w:t>
      </w:r>
      <w:r>
        <w:rPr>
          <w:i/>
        </w:rPr>
        <w:t xml:space="preserve">Advanced r</w:t>
      </w:r>
      <w:r>
        <w:t xml:space="preserve">, CRC press.</w:t>
      </w:r>
    </w:p>
    <w:bookmarkEnd w:id="70"/>
    <w:bookmarkStart w:id="71" w:name="ref-wickham2016r"/>
    <w:p>
      <w:pPr>
        <w:pStyle w:val="Bibliography"/>
      </w:pPr>
      <w:r>
        <w:t xml:space="preserve">Wickham, H., and Grolemund, G. (2016),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, " O’Reilly Media, Inc.".</w:t>
      </w:r>
    </w:p>
    <w:bookmarkEnd w:id="71"/>
    <w:bookmarkStart w:id="72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72"/>
    <w:bookmarkEnd w:id="73"/>
    <w:p>
      <w:r>
        <w:br w:type="page"/>
      </w:r>
    </w:p>
    <w:p>
      <w:pPr>
        <w:pStyle w:val="Heading1"/>
      </w:pPr>
      <w:bookmarkStart w:id="74" w:name="supplementary-files"/>
      <w:r>
        <w:t xml:space="preserve">Supplementary files</w:t>
      </w:r>
      <w:bookmarkEnd w:id="74"/>
    </w:p>
    <w:p>
      <w:pPr>
        <w:pStyle w:val="Heading2"/>
      </w:pPr>
      <w:bookmarkStart w:id="75" w:name="student-projects"/>
      <w:r>
        <w:t xml:space="preserve">Student projects</w:t>
      </w:r>
      <w:bookmarkEnd w:id="75"/>
    </w:p>
    <w:p>
      <w:pPr>
        <w:pStyle w:val="Compact"/>
        <w:numPr>
          <w:numId w:val="1003"/>
          <w:ilvl w:val="0"/>
        </w:numPr>
      </w:pPr>
      <w:r>
        <w:t xml:space="preserve">Jinyu poster</w:t>
      </w:r>
    </w:p>
    <w:p>
      <w:pPr>
        <w:pStyle w:val="Compact"/>
        <w:numPr>
          <w:numId w:val="1003"/>
          <w:ilvl w:val="0"/>
        </w:numPr>
      </w:pPr>
      <w:r>
        <w:t xml:space="preserve">Jinyu report</w:t>
      </w:r>
    </w:p>
    <w:p>
      <w:pPr>
        <w:pStyle w:val="Compact"/>
        <w:numPr>
          <w:numId w:val="1003"/>
          <w:ilvl w:val="0"/>
        </w:numPr>
      </w:pPr>
      <w:r>
        <w:t xml:space="preserve">useR 2016 slides</w:t>
      </w:r>
    </w:p>
    <w:p>
      <w:pPr>
        <w:pStyle w:val="Compact"/>
        <w:numPr>
          <w:numId w:val="1003"/>
          <w:ilvl w:val="0"/>
        </w:numPr>
      </w:pPr>
      <w:r>
        <w:t xml:space="preserve">political methods poster 2016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2020-06-07T17:12:19Z</dcterms:created>
  <dcterms:modified xsi:type="dcterms:W3CDTF">2020-06-07T17:12:19Z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