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  <w:r>
        <w:t xml:space="preserve"> </w:t>
      </w:r>
      <w:r>
        <w:t xml:space="preserve">with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Last modified: 2020-06-12 15:24:16.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present a framework for undergraduate research projects with Twitter data. We draw on experiences mentoring two students during</w:t>
      </w:r>
      <w:r>
        <w:t xml:space="preserve"> </w:t>
      </w:r>
      <w:r>
        <w:t xml:space="preserve">an academic year.</w:t>
      </w:r>
      <w:r>
        <w:t xml:space="preserve"> </w:t>
      </w:r>
      <w:r>
        <w:t xml:space="preserve">Leveraging backward design principles, we share our learning objectives and</w:t>
      </w:r>
      <w:r>
        <w:t xml:space="preserve"> </w:t>
      </w:r>
      <w:r>
        <w:t xml:space="preserve">rubric for summative assessments. To illustrate the value of Twitter as a data source,</w:t>
      </w:r>
      <w:r>
        <w:t xml:space="preserve"> </w:t>
      </w:r>
      <w:r>
        <w:t xml:space="preserve">we detail methods for collecting and analyzing tweets. We conclude by emphasizing</w:t>
      </w:r>
      <w:r>
        <w:t xml:space="preserve"> </w:t>
      </w:r>
      <w:r>
        <w:t xml:space="preserve">how Twitter text analysis projects enable students to formulate</w:t>
      </w:r>
      <w:r>
        <w:t xml:space="preserve"> </w:t>
      </w:r>
      <w:r>
        <w:t xml:space="preserve">original research questions, collect and analyze the needed data, and communicate</w:t>
      </w:r>
      <w:r>
        <w:t xml:space="preserve"> </w:t>
      </w:r>
      <w:r>
        <w:t xml:space="preserve">findings and their implications.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guided two statistics students in their senior research projects.</w:t>
      </w:r>
      <w:r>
        <w:t xml:space="preserve"> </w:t>
      </w:r>
      <w:r>
        <w:t xml:space="preserve">Both students used tweets to address novel research questions. We</w:t>
      </w:r>
      <w:r>
        <w:t xml:space="preserve"> </w:t>
      </w:r>
      <w:r>
        <w:t xml:space="preserve">share products of their research in supplementary files. Because</w:t>
      </w:r>
      <w:r>
        <w:t xml:space="preserve"> </w:t>
      </w:r>
      <w:r>
        <w:t xml:space="preserve">their data are no longer available, we present as a case study one</w:t>
      </w:r>
      <w:r>
        <w:t xml:space="preserve"> </w:t>
      </w:r>
      <w:r>
        <w:t xml:space="preserve">analysis with tweets from May 2020. We share our data and computer</w:t>
      </w:r>
      <w:r>
        <w:t xml:space="preserve"> </w:t>
      </w:r>
      <w:r>
        <w:t xml:space="preserve">code to encourage others to undertake</w:t>
      </w:r>
      <w:r>
        <w:t xml:space="preserve"> </w:t>
      </w:r>
      <w:r>
        <w:t xml:space="preserve">tweet text analysis research. We also describe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</w:t>
      </w:r>
      <w:r>
        <w:t xml:space="preserve"> </w:t>
      </w:r>
      <w:r>
        <w:t xml:space="preserve">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</w:t>
      </w:r>
      <w:r>
        <w:t xml:space="preserve"> </w:t>
      </w:r>
      <w:r>
        <w:t xml:space="preserve">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Studies of Twitter conversations have yielded valuable insights into</w:t>
      </w:r>
      <w:r>
        <w:t xml:space="preserve"> </w:t>
      </w:r>
      <w:r>
        <w:t xml:space="preserve">modern culture. Using large collections of tweets, scholars have</w:t>
      </w:r>
      <w:r>
        <w:t xml:space="preserve"> </w:t>
      </w:r>
      <w:r>
        <w:t xml:space="preserve">investigated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</w:t>
      </w:r>
      <w:r>
        <w:t xml:space="preserve"> </w:t>
      </w:r>
      <w:r>
        <w:t xml:space="preserve">We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discuss in detail below one approach to studying this</w:t>
      </w:r>
      <w:r>
        <w:t xml:space="preserve"> </w:t>
      </w:r>
      <w:r>
        <w:t xml:space="preserve">question. In the sections that follow, we detail our backward design-inspired approach to</w:t>
      </w:r>
      <w:r>
        <w:t xml:space="preserve"> </w:t>
      </w:r>
      <w:r>
        <w:t xml:space="preserve">writing learning objectives, preliminary research mentoring considerations,</w:t>
      </w:r>
      <w:r>
        <w:t xml:space="preserve"> </w:t>
      </w:r>
      <w:r>
        <w:t xml:space="preserve">data science methods for collecting and analyzing tweets, analysis results,</w:t>
      </w:r>
      <w:r>
        <w:t xml:space="preserve"> </w:t>
      </w:r>
      <w:r>
        <w:t xml:space="preserve">and ideas on assessment and advanced topics.</w:t>
      </w:r>
    </w:p>
    <w:p>
      <w:pPr>
        <w:pStyle w:val="Heading1"/>
      </w:pPr>
      <w:bookmarkStart w:id="22" w:name="backward-design-and-learning-objectives"/>
      <w:r>
        <w:t xml:space="preserve">Backward design and learning objectives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).</w:t>
      </w:r>
    </w:p>
    <w:p>
      <w:pPr>
        <w:pStyle w:val="BodyText"/>
      </w:pPr>
      <w:r>
        <w:t xml:space="preserve">We note that nearly all of the skills in Table</w:t>
      </w:r>
      <w:r>
        <w:t xml:space="preserve"> </w:t>
      </w:r>
      <w:r>
        <w:t xml:space="preserve">??</w:t>
      </w:r>
      <w:r>
        <w:t xml:space="preserve"> </w:t>
      </w:r>
      <w:r>
        <w:t xml:space="preserve">are</w:t>
      </w:r>
      <w:r>
        <w:t xml:space="preserve"> </w:t>
      </w:r>
      <w:r>
        <w:t xml:space="preserve">transferable in that they apply not merely to the thesis projects, but also to</w:t>
      </w:r>
      <w:r>
        <w:t xml:space="preserve"> </w:t>
      </w:r>
      <w:r>
        <w:t xml:space="preserve">data science research in general.</w:t>
      </w:r>
    </w:p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into learning objectives our prioritized list of skills that</w:t>
      </w:r>
      <w:r>
        <w:t xml:space="preserve"> </w:t>
      </w:r>
      <w:r>
        <w:t xml:space="preserve">students should be able to do, understand, and know (Table</w:t>
      </w:r>
      <w:r>
        <w:t xml:space="preserve"> </w:t>
      </w:r>
      <w:r>
        <w:t xml:space="preserve">??</w:t>
      </w:r>
      <w:r>
        <w:t xml:space="preserve">). We</w:t>
      </w:r>
      <w:r>
        <w:t xml:space="preserve"> </w:t>
      </w:r>
      <w:r>
        <w:t xml:space="preserve">phrased learning objectives in a manner that enabled their subsequent assessment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 with formative and summative strategies.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Heading1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developed research goals with students in a series of discussions. As trainees began their senior research projects, we spoke in detail about:</w:t>
      </w:r>
    </w:p>
    <w:p>
      <w:pPr>
        <w:pStyle w:val="Compact"/>
        <w:numPr>
          <w:numId w:val="1002"/>
          <w:ilvl w:val="0"/>
        </w:numPr>
      </w:pPr>
      <w:r>
        <w:t xml:space="preserve">Student experience with data analysis software</w:t>
      </w:r>
    </w:p>
    <w:p>
      <w:pPr>
        <w:pStyle w:val="Compact"/>
        <w:numPr>
          <w:numId w:val="1002"/>
          <w:ilvl w:val="0"/>
        </w:numPr>
      </w:pPr>
      <w:r>
        <w:t xml:space="preserve">Student research interests and goals</w:t>
      </w:r>
    </w:p>
    <w:p>
      <w:pPr>
        <w:pStyle w:val="Heading2"/>
      </w:pPr>
      <w:bookmarkStart w:id="26" w:name="Xd9f7632e9138474db6d4e8fd829b6166d184abc"/>
      <w:r>
        <w:t xml:space="preserve">Student experience with data analysis software</w:t>
      </w:r>
      <w:bookmarkEnd w:id="26"/>
    </w:p>
    <w:p>
      <w:pPr>
        <w:pStyle w:val="FirstParagraph"/>
      </w:pPr>
      <w:r>
        <w:t xml:space="preserve">Student experience with data analysis software varies. In our statistics department,</w:t>
      </w:r>
      <w:r>
        <w:t xml:space="preserve"> </w:t>
      </w:r>
      <w:r>
        <w:t xml:space="preserve">most students learn elementary R computing skills through class assignments. Some</w:t>
      </w:r>
      <w:r>
        <w:t xml:space="preserve"> </w:t>
      </w:r>
      <w:r>
        <w:t xml:space="preserve">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BodyText"/>
      </w:pPr>
      <w:r>
        <w:t xml:space="preserve">Our data science projects required that students possess elementary R computing</w:t>
      </w:r>
      <w:r>
        <w:t xml:space="preserve"> </w:t>
      </w:r>
      <w:r>
        <w:t xml:space="preserve">skills. We guided students towards supplementary R computing resources, including</w:t>
      </w:r>
      <w:r>
        <w:t xml:space="preserve"> </w:t>
      </w:r>
      <w:r>
        <w:t xml:space="preserve">the online books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r>
        <w:t xml:space="preserve">(Wickham and Grolemund 2016)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Advanced R</w:t>
      </w:r>
      <w:r>
        <w:t xml:space="preserve">”</w:t>
      </w:r>
      <w:r>
        <w:t xml:space="preserve"> </w:t>
      </w:r>
      <w:r>
        <w:t xml:space="preserve">(Wickham 2019)</w:t>
      </w:r>
      <w:r>
        <w:t xml:space="preserve">.</w:t>
      </w:r>
    </w:p>
    <w:p>
      <w:pPr>
        <w:pStyle w:val="Heading2"/>
      </w:pPr>
      <w:bookmarkStart w:id="27" w:name="student-research-interests-and-goals"/>
      <w:r>
        <w:t xml:space="preserve">Student research interests and goals</w:t>
      </w:r>
      <w:bookmarkEnd w:id="27"/>
    </w:p>
    <w:p>
      <w:pPr>
        <w:pStyle w:val="FirstParagraph"/>
      </w:pPr>
      <w:r>
        <w:t xml:space="preserve">In our experience, student interests vary, and students’ ability to articulate research goals</w:t>
      </w:r>
      <w:r>
        <w:t xml:space="preserve"> </w:t>
      </w:r>
      <w:r>
        <w:t xml:space="preserve">may be limited. An initial brainstorming session may clarify their interests and encourage</w:t>
      </w:r>
      <w:r>
        <w:t xml:space="preserve"> </w:t>
      </w:r>
      <w:r>
        <w:t xml:space="preserve">them to think critically about goals under the time constraints of their academic schedules.</w:t>
      </w:r>
      <w:r>
        <w:t xml:space="preserve"> </w:t>
      </w:r>
      <w:r>
        <w:t xml:space="preserve">Additionally, we anticipate that sharing completed student project reports will guide student</w:t>
      </w:r>
      <w:r>
        <w:t xml:space="preserve"> </w:t>
      </w:r>
      <w:r>
        <w:t xml:space="preserve">thinking about the scope of possible projects (Supplemental files).</w:t>
      </w:r>
    </w:p>
    <w:p>
      <w:pPr>
        <w:pStyle w:val="Heading2"/>
      </w:pPr>
      <w:bookmarkStart w:id="28" w:name="time-period"/>
      <w:r>
        <w:t xml:space="preserve">Time period</w:t>
      </w:r>
      <w:bookmarkEnd w:id="28"/>
    </w:p>
    <w:p>
      <w:pPr>
        <w:pStyle w:val="FirstParagraph"/>
      </w:pPr>
      <w:r>
        <w:t xml:space="preserve">Our two statistics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year.</w:t>
      </w:r>
    </w:p>
    <w:p>
      <w:pPr>
        <w:pStyle w:val="BodyText"/>
      </w:pPr>
      <w:r>
        <w:t xml:space="preserve">We present below reproducible R code for analyzing data from May 2020. While these</w:t>
      </w:r>
      <w:r>
        <w:t xml:space="preserve"> </w:t>
      </w:r>
      <w:r>
        <w:t xml:space="preserve">are not the same data that our students analyzed in 2015, the methods and code</w:t>
      </w:r>
      <w:r>
        <w:t xml:space="preserve"> </w:t>
      </w:r>
      <w:r>
        <w:t xml:space="preserve">are very similar.</w:t>
      </w:r>
    </w:p>
    <w:p>
      <w:pPr>
        <w:pStyle w:val="Heading1"/>
      </w:pPr>
      <w:bookmarkStart w:id="29" w:name="case-study-methods"/>
      <w:r>
        <w:t xml:space="preserve">Case study methods</w:t>
      </w:r>
      <w:bookmarkEnd w:id="29"/>
    </w:p>
    <w:p>
      <w:pPr>
        <w:pStyle w:val="FirstParagraph"/>
      </w:pPr>
      <w:r>
        <w:t xml:space="preserve">To illustrate the value of Twitter data, we present below a</w:t>
      </w:r>
      <w:r>
        <w:t xml:space="preserve"> </w:t>
      </w:r>
      <w:r>
        <w:t xml:space="preserve">reproducible case study. In it, we aim to detect a social media</w:t>
      </w:r>
      <w:r>
        <w:t xml:space="preserve"> </w:t>
      </w:r>
      <w:r>
        <w:t xml:space="preserve">event by examining topic content over time. We use latent Dirichlet</w:t>
      </w:r>
      <w:r>
        <w:t xml:space="preserve"> </w:t>
      </w:r>
      <w:r>
        <w:t xml:space="preserve">allocation models to infer topics on three consecutive days centered</w:t>
      </w:r>
      <w:r>
        <w:t xml:space="preserve"> </w:t>
      </w:r>
      <w:r>
        <w:t xml:space="preserve">on Memorial Day 2020. We chose to use this example case study,</w:t>
      </w:r>
      <w:r>
        <w:t xml:space="preserve"> </w:t>
      </w:r>
      <w:r>
        <w:t xml:space="preserve">instead of the student projects, because of limited data</w:t>
      </w:r>
      <w:r>
        <w:t xml:space="preserve"> </w:t>
      </w:r>
      <w:r>
        <w:t xml:space="preserve">availability for the student projects. Despite this, the case study</w:t>
      </w:r>
      <w:r>
        <w:t xml:space="preserve"> </w:t>
      </w:r>
      <w:r>
        <w:t xml:space="preserve">illustrates the strategy and methods for one of the student</w:t>
      </w:r>
      <w:r>
        <w:t xml:space="preserve"> </w:t>
      </w:r>
      <w:r>
        <w:t xml:space="preserve">projects.</w:t>
      </w:r>
    </w:p>
    <w:p>
      <w:pPr>
        <w:pStyle w:val="Heading2"/>
      </w:pPr>
      <w:bookmarkStart w:id="30" w:name="case-study-design"/>
      <w:r>
        <w:t xml:space="preserve">Case study design</w:t>
      </w:r>
      <w:bookmarkEnd w:id="30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</w:t>
      </w:r>
      <w:r>
        <w:t xml:space="preserve"> </w:t>
      </w:r>
      <w:r>
        <w:t xml:space="preserve">we analyzed tweets before, during, and</w:t>
      </w:r>
      <w:r>
        <w:t xml:space="preserve"> </w:t>
      </w:r>
      <w:r>
        <w:t xml:space="preserve">after Memorial Day (May 25, 2020).</w:t>
      </w:r>
      <w:r>
        <w:t xml:space="preserve"> </w:t>
      </w:r>
      <w:r>
        <w:t xml:space="preserve">We fitted latent Dirichlet allocation models for each of three</w:t>
      </w:r>
      <w:r>
        <w:t xml:space="preserve"> </w:t>
      </w:r>
      <w:r>
        <w:t xml:space="preserve">distinct five-minute periods. The first period began at noon Eastern time</w:t>
      </w:r>
      <w:r>
        <w:t xml:space="preserve"> </w:t>
      </w:r>
      <w:r>
        <w:t xml:space="preserve">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</w:t>
      </w:r>
      <w:r>
        <w:t xml:space="preserve"> </w:t>
      </w:r>
      <w:r>
        <w:t xml:space="preserve">tweets.</w:t>
      </w:r>
    </w:p>
    <w:p>
      <w:pPr>
        <w:pStyle w:val="Heading2"/>
      </w:pPr>
      <w:bookmarkStart w:id="31" w:name="collecting-tweets-over-time"/>
      <w:r>
        <w:t xml:space="preserve">Collecting tweets over time</w:t>
      </w:r>
      <w:bookmarkEnd w:id="31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used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 and produced a text file of approximately 130 MB.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file: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Users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2"/>
      </w:pPr>
      <w:bookmarkStart w:id="32" w:name="X44123c9c48896a94d09fe98af5f8466be162e8c"/>
      <w:r>
        <w:t xml:space="preserve">Querying Twitter API to get complete tweets</w:t>
      </w:r>
      <w:bookmarkEnd w:id="32"/>
    </w:p>
    <w:p>
      <w:pPr>
        <w:pStyle w:val="FirstParagraph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With a tweet</w:t>
      </w:r>
      <w:r>
        <w:t xml:space="preserve"> </w:t>
      </w:r>
      <w:r>
        <w:t xml:space="preserve">identification number, a user may query a Twitter API to obtain complete tweet data. In our</w:t>
      </w:r>
      <w:r>
        <w:t xml:space="preserve"> </w:t>
      </w:r>
      <w:r>
        <w:t xml:space="preserve">experience, this</w:t>
      </w:r>
      <w:r>
        <w:t xml:space="preserve"> </w:t>
      </w:r>
      <w:r>
        <w:t xml:space="preserve">process is incomplete; that is, many tweet identification numbers submitted to the Twitter API return</w:t>
      </w:r>
      <w:r>
        <w:t xml:space="preserve"> </w:t>
      </w:r>
      <w:r>
        <w:t xml:space="preserve">no data. Additionally, on repeated querying of the API, different sets of tweet identification numbers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 and motivates our decision to share the tweet IDs of those tweets that</w:t>
      </w:r>
      <w:r>
        <w:t xml:space="preserve"> </w:t>
      </w:r>
      <w:r>
        <w:t xml:space="preserve">we actually analyzed (Supplementary files). Should a reader wish to reproduce</w:t>
      </w:r>
      <w:r>
        <w:t xml:space="preserve"> </w:t>
      </w:r>
      <w:r>
        <w:t xml:space="preserve">our analysis, we anticipate that she will get complete tweet data</w:t>
      </w:r>
      <w:r>
        <w:t xml:space="preserve"> </w:t>
      </w:r>
      <w:r>
        <w:t xml:space="preserve">for all or most of these tweet identification numbers from the API. We provide</w:t>
      </w:r>
      <w:r>
        <w:t xml:space="preserve"> </w:t>
      </w:r>
      <w:r>
        <w:t xml:space="preserve">R code for this task in the supplementary files.</w:t>
      </w:r>
    </w:p>
    <w:p>
      <w:pPr>
        <w:pStyle w:val="Heading2"/>
      </w:pPr>
      <w:bookmarkStart w:id="33" w:name="tweet-structure"/>
      <w:r>
        <w:t xml:space="preserve">Tweet structure</w:t>
      </w:r>
      <w:bookmarkEnd w:id="33"/>
    </w:p>
    <w:p>
      <w:pPr>
        <w:pStyle w:val="FirstParagraph"/>
      </w:pPr>
      <w:r>
        <w:t xml:space="preserve">Tweets are available from the Twitter API as Javascript Object Notation (JSON) objects</w:t>
      </w:r>
      <w:r>
        <w:t xml:space="preserve"> </w:t>
      </w:r>
      <w:r>
        <w:t xml:space="preserve">(“Introducing JSON” 2020)</w:t>
      </w:r>
      <w:r>
        <w:t xml:space="preserve">.</w:t>
      </w:r>
      <w:r>
        <w:t xml:space="preserve"> </w:t>
      </w:r>
      <w:r>
        <w:t xml:space="preserve">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(Supplementary files).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Tweet JSON.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After creating a text file</w:t>
      </w:r>
      <w:r>
        <w:t xml:space="preserve"> </w:t>
      </w:r>
      <w:r>
        <w:t xml:space="preserve">with tweet JSON, our next step involved reading and parsing tweets with the R</w:t>
      </w:r>
      <w:r>
        <w:t xml:space="preserve"> </w:t>
      </w:r>
      <w:r>
        <w:t xml:space="preserve">packages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.</w:t>
      </w:r>
    </w:p>
    <w:p>
      <w:pPr>
        <w:pStyle w:val="Heading2"/>
      </w:pPr>
      <w:bookmarkStart w:id="34" w:name="parsing-tweet-text"/>
      <w:r>
        <w:t xml:space="preserve">Parsing tweet text</w:t>
      </w:r>
      <w:bookmarkEnd w:id="34"/>
    </w:p>
    <w:p>
      <w:pPr>
        <w:pStyle w:val="FirstParagraph"/>
      </w:pPr>
      <w:r>
        <w:t xml:space="preserve">The next task is to wrangle the tweet JSON into a data structure suitable for latent Dirichlet allocation modeling.</w:t>
      </w:r>
      <w:r>
        <w:t xml:space="preserve"> </w:t>
      </w: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</w:t>
      </w:r>
      <w:r>
        <w:t xml:space="preserve"> </w:t>
      </w:r>
      <w:r>
        <w:t xml:space="preserve">(Kearney 2019)</w:t>
      </w:r>
      <w:r>
        <w:t xml:space="preserve">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(Silge and Robinson 2016)</w:t>
      </w:r>
      <w:r>
        <w:t xml:space="preserve">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 fitting requires that the corpus be organized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5" w:name="latent-dirichlet-allocation"/>
      <w:r>
        <w:t xml:space="preserve">Latent Dirichlet allocation</w:t>
      </w:r>
      <w:bookmarkEnd w:id="35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The goal for latent Dirichlet allocation is to infer both the distribution over topics and</w:t>
      </w:r>
      <w:r>
        <w:t xml:space="preserve"> </w:t>
      </w:r>
      <w:r>
        <w:t xml:space="preserve">the topics</w:t>
      </w:r>
      <w:r>
        <w:t xml:space="preserve"> </w:t>
      </w:r>
      <w:r>
        <w:t xml:space="preserve">(Blei et al. 2003)</w:t>
      </w:r>
      <w:r>
        <w:t xml:space="preserve">. A topic, in this setting, is a distribution over</w:t>
      </w:r>
      <w:r>
        <w:t xml:space="preserve"> </w:t>
      </w:r>
      <w:r>
        <w:t xml:space="preserve">the vocabulary (the collection of all words in a corpus).</w:t>
      </w:r>
    </w:p>
    <w:p>
      <w:pPr>
        <w:pStyle w:val="BodyText"/>
      </w:pPr>
      <w:r>
        <w:t xml:space="preserve">Inference for latent Dirichlet allocation models is performed by either</w:t>
      </w:r>
      <w:r>
        <w:t xml:space="preserve"> </w:t>
      </w:r>
      <w:r>
        <w:t xml:space="preserve">sampling from the posterior distribution or through variational methods. Researchers</w:t>
      </w:r>
      <w:r>
        <w:t xml:space="preserve"> </w:t>
      </w:r>
      <w:r>
        <w:t xml:space="preserve">have devised a variety of Gibbs sampling techniques for these models</w:t>
      </w:r>
      <w:r>
        <w:t xml:space="preserve"> </w:t>
      </w:r>
      <w:r>
        <w:t xml:space="preserve">(Porteous et al. 2008)</w:t>
      </w:r>
      <w:r>
        <w:t xml:space="preserve">.</w:t>
      </w:r>
      <w:r>
        <w:t xml:space="preserve"> </w:t>
      </w:r>
      <w:r>
        <w:t xml:space="preserve">Variational methods, while using approximations to the posterior distribution, offer the</w:t>
      </w:r>
      <w:r>
        <w:t xml:space="preserve"> </w:t>
      </w:r>
      <w:r>
        <w:t xml:space="preserve">advantage of computational speed</w:t>
      </w:r>
      <w:r>
        <w:t xml:space="preserve"> </w:t>
      </w:r>
      <w:r>
        <w:t xml:space="preserve">(Blei et al. 2017)</w:t>
      </w:r>
      <w:r>
        <w:t xml:space="preserve">. We used variational methods below.</w:t>
      </w:r>
    </w:p>
    <w:p>
      <w:pPr>
        <w:pStyle w:val="Heading1"/>
      </w:pPr>
      <w:bookmarkStart w:id="36" w:name="case-study-results"/>
      <w:r>
        <w:t xml:space="preserve">Case study results</w:t>
      </w:r>
      <w:bookmarkEnd w:id="36"/>
    </w:p>
    <w:p>
      <w:pPr>
        <w:pStyle w:val="FirstParagraph"/>
      </w:pPr>
      <w:r>
        <w:t xml:space="preserve">We identified the top ten most probable terms for each of ten topics in our models</w:t>
      </w:r>
      <w:r>
        <w:t xml:space="preserve"> </w:t>
      </w:r>
      <w:r>
        <w:t xml:space="preserve">(Figures</w:t>
      </w:r>
      <w:r>
        <w:t xml:space="preserve"> </w:t>
      </w:r>
      <w:r>
        <w:t xml:space="preserve">1</w:t>
      </w:r>
      <w:r>
        <w:t xml:space="preserve">,</w:t>
      </w:r>
      <w:r>
        <w:t xml:space="preserve"> </w:t>
      </w:r>
      <w:r>
        <w:t xml:space="preserve">2</w:t>
      </w:r>
      <w:r>
        <w:t xml:space="preserve">,</w:t>
      </w:r>
      <w:r>
        <w:t xml:space="preserve"> </w:t>
      </w:r>
      <w:r>
        <w:t xml:space="preserve">3</w:t>
      </w:r>
      <w:r>
        <w:t xml:space="preserve">).</w:t>
      </w:r>
      <w:r>
        <w:t xml:space="preserve"> </w:t>
      </w:r>
      <w:r>
        <w:t xml:space="preserve">We plotted the within-topic word probabilities as bar graphs.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every topic in our models. We see that topic 7 from May 25 has several</w:t>
      </w:r>
      <w:r>
        <w:t xml:space="preserve"> </w:t>
      </w:r>
      <w:r>
        <w:t xml:space="preserve">words that suggest Memorial Day: memorial, remember, honor, country. A similar topic is not</w:t>
      </w:r>
      <w:r>
        <w:t xml:space="preserve"> </w:t>
      </w:r>
      <w:r>
        <w:t xml:space="preserve">seen on May 24 or May 26. Some topics persist, with distinct word probabilities,</w:t>
      </w:r>
      <w:r>
        <w:t xml:space="preserve"> </w:t>
      </w:r>
      <w:r>
        <w:t xml:space="preserve">across the three days. For example, we see that President Trump features prominently in all</w:t>
      </w:r>
      <w:r>
        <w:t xml:space="preserve"> </w:t>
      </w:r>
      <w:r>
        <w:t xml:space="preserve">three models. We also note, on May 26, topic 10, which reflects discussion of the Amy Cooper Central Park incident.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with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</w:t>
      </w:r>
      <w:r>
        <w:t xml:space="preserve"> </w:t>
      </w:r>
      <w:r>
        <w:t xml:space="preserve">challenges. We summatively assessed student achievement at the end of the academic year.</w:t>
      </w:r>
      <w:r>
        <w:t xml:space="preserve"> </w:t>
      </w:r>
      <w:r>
        <w:t xml:space="preserve">Both 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BodyText"/>
      </w:pPr>
      <w:r>
        <w:t xml:space="preserve">With future students, we will use a written rubric to evaluate</w:t>
      </w:r>
      <w:r>
        <w:t xml:space="preserve"> </w:t>
      </w:r>
      <w:r>
        <w:t xml:space="preserve">theses (Table</w:t>
      </w:r>
      <w:r>
        <w:t xml:space="preserve"> </w:t>
      </w:r>
      <w:r>
        <w:t xml:space="preserve">??</w:t>
      </w:r>
      <w:r>
        <w:t xml:space="preserve">). We’ll</w:t>
      </w:r>
      <w:r>
        <w:t xml:space="preserve"> </w:t>
      </w:r>
      <w:r>
        <w:t xml:space="preserve">share the rubric with our students at the start of the academic year.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offers a wealth of potential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prices.</w:t>
      </w:r>
    </w:p>
    <w:p>
      <w:pPr>
        <w:pStyle w:val="BodyText"/>
      </w:pPr>
      <w:r>
        <w:t xml:space="preserve">Latent Dirichlet allocation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Our mentoring in data science aligns with others’ calls to reconsider</w:t>
      </w:r>
      <w:r>
        <w:t xml:space="preserve"> </w:t>
      </w:r>
      <w:r>
        <w:t xml:space="preserve">the role of computing in statistics</w:t>
      </w:r>
      <w:r>
        <w:t xml:space="preserve"> </w:t>
      </w:r>
      <w:r>
        <w:t xml:space="preserve">and data science</w:t>
      </w:r>
      <w:r>
        <w:t xml:space="preserve"> </w:t>
      </w:r>
      <w:r>
        <w:t xml:space="preserve">(Carver et al. 2016; Nolan and Temple Lang 2010)</w:t>
      </w:r>
      <w:r>
        <w:t xml:space="preserve">.</w:t>
      </w:r>
      <w:r>
        <w:t xml:space="preserve"> </w:t>
      </w:r>
      <w:r>
        <w:t xml:space="preserve">Hicks and Irizarry (2018)</w:t>
      </w:r>
      <w:r>
        <w:t xml:space="preserve"> </w:t>
      </w:r>
      <w:r>
        <w:t xml:space="preserve">argue for</w:t>
      </w:r>
      <w:r>
        <w:t xml:space="preserve"> </w:t>
      </w:r>
      <w:r>
        <w:t xml:space="preserve">incorporating three concepts into data science training:</w:t>
      </w:r>
      <w:r>
        <w:t xml:space="preserve"> </w:t>
      </w:r>
      <w:r>
        <w:t xml:space="preserve">computing, connecting and creating.</w:t>
      </w:r>
      <w:r>
        <w:t xml:space="preserve"> </w:t>
      </w:r>
      <w:r>
        <w:t xml:space="preserve">They use the terms</w:t>
      </w:r>
      <w:r>
        <w:t xml:space="preserve"> </w:t>
      </w:r>
      <w:r>
        <w:t xml:space="preserve">“</w:t>
      </w:r>
      <w:r>
        <w:t xml:space="preserve">connecting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creating</w:t>
      </w:r>
      <w:r>
        <w:t xml:space="preserve">”</w:t>
      </w:r>
      <w:r>
        <w:t xml:space="preserve"> </w:t>
      </w:r>
      <w:r>
        <w:t xml:space="preserve">to describe the processes of applying</w:t>
      </w:r>
      <w:r>
        <w:t xml:space="preserve"> </w:t>
      </w:r>
      <w:r>
        <w:t xml:space="preserve">quantitative methods to real data and research questions and of formulating research</w:t>
      </w:r>
      <w:r>
        <w:t xml:space="preserve"> </w:t>
      </w:r>
      <w:r>
        <w:t xml:space="preserve">questions, respectively. Our tweet analysis projects offer students opportunities in all</w:t>
      </w:r>
      <w:r>
        <w:t xml:space="preserve"> </w:t>
      </w:r>
      <w:r>
        <w:t xml:space="preserve">three skills sets. Our students first formulated research questions, then collected and</w:t>
      </w:r>
      <w:r>
        <w:t xml:space="preserve"> </w:t>
      </w:r>
      <w:r>
        <w:t xml:space="preserve">analyzed data to address the questions. Throughout the projects, students</w:t>
      </w:r>
      <w:r>
        <w:t xml:space="preserve"> </w:t>
      </w:r>
      <w:r>
        <w:t xml:space="preserve">drew heavily on computing, both to acquire data and to analyze it.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 Tweets over time are a rich, large,</w:t>
      </w:r>
      <w:r>
        <w:t xml:space="preserve"> </w:t>
      </w:r>
      <w:r>
        <w:t xml:space="preserve">authentic data set that offer many opportunities.</w:t>
      </w:r>
      <w:r>
        <w:t xml:space="preserve"> </w:t>
      </w:r>
      <w:r>
        <w:t xml:space="preserve">We provided instructions to enable readers to establish their own tweet collections.</w:t>
      </w:r>
      <w:r>
        <w:t xml:space="preserve"> </w:t>
      </w:r>
      <w:r>
        <w:t xml:space="preserve">We also presented details for one analysis strategy.</w:t>
      </w:r>
      <w:r>
        <w:t xml:space="preserve"> </w:t>
      </w:r>
      <w:r>
        <w:t xml:space="preserve">By considering first student research interests and integrating them with our</w:t>
      </w:r>
      <w:r>
        <w:t xml:space="preserve"> </w:t>
      </w:r>
      <w:r>
        <w:t xml:space="preserve">senior thesis learning objectives, we successfully guided two undergraduate</w:t>
      </w:r>
      <w:r>
        <w:t xml:space="preserve"> </w:t>
      </w:r>
      <w:r>
        <w:t xml:space="preserve">researchers in data science research with tweets.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73" w:name="refs"/>
    <w:bookmarkStart w:id="46" w:name="ref-blei2017variational"/>
    <w:p>
      <w:pPr>
        <w:pStyle w:val="Bibliography"/>
      </w:pPr>
      <w:r>
        <w:t xml:space="preserve">Blei, D. M., Kucukelbir, A., and McAuliffe, J. D. (2017), “Variational inference: A review for statisticians,”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 Taylor &amp; Francis, 112, 859–877.</w:t>
      </w:r>
    </w:p>
    <w:bookmarkEnd w:id="46"/>
    <w:bookmarkStart w:id="47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7"/>
    <w:bookmarkStart w:id="48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8"/>
    <w:bookmarkStart w:id="49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49"/>
    <w:bookmarkStart w:id="50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50"/>
    <w:bookmarkStart w:id="51" w:name="ref-hicks2018guide"/>
    <w:p>
      <w:pPr>
        <w:pStyle w:val="Bibliography"/>
      </w:pPr>
      <w:r>
        <w:t xml:space="preserve">Hicks, S. C., and Irizarry, R. A. (2018), “A guide to teaching data science,”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72, 382–391.</w:t>
      </w:r>
    </w:p>
    <w:bookmarkEnd w:id="51"/>
    <w:bookmarkStart w:id="53" w:name="ref-json"/>
    <w:p>
      <w:pPr>
        <w:pStyle w:val="Bibliography"/>
      </w:pPr>
      <w:r>
        <w:t xml:space="preserve">“Introducing JSON” (2020),</w:t>
      </w:r>
      <w:r>
        <w:t xml:space="preserve"> </w:t>
      </w:r>
      <w:hyperlink r:id="rId52">
        <w:r>
          <w:rPr>
            <w:rStyle w:val="Hyperlink"/>
          </w:rPr>
          <w:t xml:space="preserve">https://www.json.org/json-en.html</w:t>
        </w:r>
      </w:hyperlink>
      <w:r>
        <w:t xml:space="preserve">.</w:t>
      </w:r>
    </w:p>
    <w:bookmarkEnd w:id="53"/>
    <w:bookmarkStart w:id="55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4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5"/>
    <w:bookmarkStart w:id="57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6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7"/>
    <w:bookmarkStart w:id="58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8"/>
    <w:bookmarkStart w:id="59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59"/>
    <w:bookmarkStart w:id="60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60"/>
    <w:bookmarkStart w:id="61" w:name="ref-porteous2008fast"/>
    <w:p>
      <w:pPr>
        <w:pStyle w:val="Bibliography"/>
      </w:pPr>
      <w:r>
        <w:t xml:space="preserve">Porteous, I., Newman, D., Ihler, A., Asuncion, A., Smyth, P., and Welling, M. (2008), “Fast collapsed gibbs sampling for latent dirichlet allocation,” in</w:t>
      </w:r>
      <w:r>
        <w:t xml:space="preserve"> </w:t>
      </w:r>
      <w:r>
        <w:rPr>
          <w:i/>
        </w:rPr>
        <w:t xml:space="preserve">Proceedings of the 14th acm sigkdd international conference on knowledge discovery and data mining</w:t>
      </w:r>
      <w:r>
        <w:t xml:space="preserve">, pp. 569–577.</w:t>
      </w:r>
    </w:p>
    <w:bookmarkEnd w:id="61"/>
    <w:bookmarkStart w:id="62" w:name="ref-r"/>
    <w:p>
      <w:pPr>
        <w:pStyle w:val="Bibliography"/>
      </w:pPr>
      <w:r>
        <w:t xml:space="preserve">R Core Team (2019),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, Vienna, Austria: R Foundation for Statistical Computing.</w:t>
      </w:r>
    </w:p>
    <w:bookmarkEnd w:id="62"/>
    <w:bookmarkStart w:id="64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63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64"/>
    <w:bookmarkStart w:id="66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65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6"/>
    <w:bookmarkStart w:id="68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7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68"/>
    <w:bookmarkStart w:id="69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69"/>
    <w:bookmarkStart w:id="70" w:name="ref-wickham2019advanced"/>
    <w:p>
      <w:pPr>
        <w:pStyle w:val="Bibliography"/>
      </w:pPr>
      <w:r>
        <w:t xml:space="preserve">Wickham, H. (2019),</w:t>
      </w:r>
      <w:r>
        <w:t xml:space="preserve"> </w:t>
      </w:r>
      <w:r>
        <w:rPr>
          <w:i/>
        </w:rPr>
        <w:t xml:space="preserve">Advanced r</w:t>
      </w:r>
      <w:r>
        <w:t xml:space="preserve">, CRC press.</w:t>
      </w:r>
    </w:p>
    <w:bookmarkEnd w:id="70"/>
    <w:bookmarkStart w:id="71" w:name="ref-wickham2016r"/>
    <w:p>
      <w:pPr>
        <w:pStyle w:val="Bibliography"/>
      </w:pPr>
      <w:r>
        <w:t xml:space="preserve">Wickham, H., and Grolemund, G. (2016),</w:t>
      </w:r>
      <w:r>
        <w:t xml:space="preserve"> </w:t>
      </w:r>
      <w:r>
        <w:rPr>
          <w:i/>
        </w:rPr>
        <w:t xml:space="preserve">R for data science: Import, tidy, transform, visualize, and model data</w:t>
      </w:r>
      <w:r>
        <w:t xml:space="preserve">, " O’Reilly Media, Inc.".</w:t>
      </w:r>
    </w:p>
    <w:bookmarkEnd w:id="71"/>
    <w:bookmarkStart w:id="72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72"/>
    <w:bookmarkEnd w:id="73"/>
    <w:p>
      <w:r>
        <w:br w:type="page"/>
      </w:r>
    </w:p>
    <w:p>
      <w:pPr>
        <w:pStyle w:val="Heading1"/>
      </w:pPr>
      <w:bookmarkStart w:id="74" w:name="supplementary-files"/>
      <w:r>
        <w:t xml:space="preserve">Supplementary files</w:t>
      </w:r>
      <w:bookmarkEnd w:id="74"/>
    </w:p>
    <w:p>
      <w:pPr>
        <w:pStyle w:val="Heading2"/>
      </w:pPr>
      <w:bookmarkStart w:id="75" w:name="student-projects"/>
      <w:r>
        <w:t xml:space="preserve">Student projects</w:t>
      </w:r>
      <w:bookmarkEnd w:id="75"/>
    </w:p>
    <w:p>
      <w:pPr>
        <w:pStyle w:val="Compact"/>
        <w:numPr>
          <w:numId w:val="1003"/>
          <w:ilvl w:val="0"/>
        </w:numPr>
      </w:pPr>
      <w:r>
        <w:t xml:space="preserve">Jinyu poster</w:t>
      </w:r>
    </w:p>
    <w:p>
      <w:pPr>
        <w:pStyle w:val="Compact"/>
        <w:numPr>
          <w:numId w:val="1003"/>
          <w:ilvl w:val="0"/>
        </w:numPr>
      </w:pPr>
      <w:r>
        <w:t xml:space="preserve">Jinyu report</w:t>
      </w:r>
    </w:p>
    <w:p>
      <w:pPr>
        <w:pStyle w:val="Compact"/>
        <w:numPr>
          <w:numId w:val="1003"/>
          <w:ilvl w:val="0"/>
        </w:numPr>
      </w:pPr>
      <w:r>
        <w:t xml:space="preserve">useR 2016 slides</w:t>
      </w:r>
    </w:p>
    <w:p>
      <w:pPr>
        <w:pStyle w:val="Compact"/>
        <w:numPr>
          <w:numId w:val="1003"/>
          <w:ilvl w:val="0"/>
        </w:numPr>
      </w:pPr>
      <w:r>
        <w:t xml:space="preserve">political methods poster 2016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63" Target="http://varianceexplained.org/r/trump-tweets/" TargetMode="External" /><Relationship Type="http://schemas.openxmlformats.org/officeDocument/2006/relationships/hyperlink" Id="rId65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67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52" Target="https://www.json.org/json-e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://varianceexplained.org/r/trump-tweets/" TargetMode="External" /><Relationship Type="http://schemas.openxmlformats.org/officeDocument/2006/relationships/hyperlink" Id="rId65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67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52" Target="https://www.json.org/json-e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A framework for student research projects with tweets</dc:title>
  <dc:creator>Frederick J. Boehm and Bret M. Hanlon</dc:creator>
  <cp:keywords/>
  <dcterms:created xsi:type="dcterms:W3CDTF">2020-06-12T19:24:17Z</dcterms:created>
  <dcterms:modified xsi:type="dcterms:W3CDTF">2020-06-12T19:24:17Z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