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4F46E5"/>
          <w:sz w:val="56"/>
        </w:rPr>
        <w:t>XCAPIT PRIVACY PLATFORM</w:t>
      </w:r>
    </w:p>
    <w:p>
      <w:pPr>
        <w:jc w:val="center"/>
      </w:pPr>
      <w:r>
        <w:rPr>
          <w:rFonts w:ascii="Calibri" w:hAnsi="Calibri"/>
          <w:color w:val="1E293B"/>
          <w:sz w:val="40"/>
        </w:rPr>
        <w:t>Findings Closure Certificate</w:t>
      </w:r>
    </w:p>
    <w:p/>
    <w:p>
      <w:pPr>
        <w:jc w:val="center"/>
      </w:pPr>
      <w:r>
        <w:rPr>
          <w:rFonts w:ascii="Calibri" w:hAnsi="Calibri"/>
          <w:color w:val="64748B"/>
          <w:sz w:val="28"/>
        </w:rPr>
        <w:t>Full Platform Security Review - Remediation Sign-Off</w:t>
        <w:br/>
        <w:t>Frontend  |  Backend API  |  Deployment Infrastructure</w:t>
      </w:r>
    </w:p>
    <w:p/>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2835"/>
            <w:shd w:fill="F1F5F9" w:val="clear"/>
          </w:tcPr>
          <w:p>
            <w:r/>
            <w:r>
              <w:rPr>
                <w:rFonts w:ascii="Calibri" w:hAnsi="Calibri"/>
                <w:b/>
                <w:sz w:val="20"/>
              </w:rPr>
              <w:t>Document Classification</w:t>
            </w:r>
          </w:p>
        </w:tc>
        <w:tc>
          <w:tcPr>
            <w:tcW w:type="dxa" w:w="5669"/>
          </w:tcPr>
          <w:p>
            <w:r/>
            <w:r>
              <w:rPr>
                <w:rFonts w:ascii="Calibri" w:hAnsi="Calibri"/>
                <w:b w:val="0"/>
                <w:sz w:val="20"/>
              </w:rPr>
              <w:t>CONFIDENTIAL - Internal Use Only</w:t>
            </w:r>
          </w:p>
        </w:tc>
      </w:tr>
      <w:tr>
        <w:tc>
          <w:tcPr>
            <w:tcW w:type="dxa" w:w="2835"/>
            <w:shd w:fill="F1F5F9" w:val="clear"/>
          </w:tcPr>
          <w:p>
            <w:r/>
            <w:r>
              <w:rPr>
                <w:rFonts w:ascii="Calibri" w:hAnsi="Calibri"/>
                <w:b/>
                <w:sz w:val="20"/>
              </w:rPr>
              <w:t>Reference Report</w:t>
            </w:r>
          </w:p>
        </w:tc>
        <w:tc>
          <w:tcPr>
            <w:tcW w:type="dxa" w:w="5669"/>
          </w:tcPr>
          <w:p>
            <w:r/>
            <w:r>
              <w:rPr>
                <w:rFonts w:ascii="Calibri" w:hAnsi="Calibri"/>
                <w:b w:val="0"/>
                <w:sz w:val="20"/>
              </w:rPr>
              <w:t>Xcapit_Platform_Security_Review_Jan2026 v2.0</w:t>
            </w:r>
          </w:p>
        </w:tc>
      </w:tr>
      <w:tr>
        <w:tc>
          <w:tcPr>
            <w:tcW w:type="dxa" w:w="2835"/>
            <w:shd w:fill="F1F5F9" w:val="clear"/>
          </w:tcPr>
          <w:p>
            <w:r/>
            <w:r>
              <w:rPr>
                <w:rFonts w:ascii="Calibri" w:hAnsi="Calibri"/>
                <w:b/>
                <w:sz w:val="20"/>
              </w:rPr>
              <w:t>Closure Date</w:t>
            </w:r>
          </w:p>
        </w:tc>
        <w:tc>
          <w:tcPr>
            <w:tcW w:type="dxa" w:w="5669"/>
          </w:tcPr>
          <w:p>
            <w:r/>
            <w:r>
              <w:rPr>
                <w:rFonts w:ascii="Calibri" w:hAnsi="Calibri"/>
                <w:b w:val="0"/>
                <w:sz w:val="20"/>
              </w:rPr>
              <w:t>January 30, 2026</w:t>
            </w:r>
          </w:p>
        </w:tc>
      </w:tr>
      <w:tr>
        <w:tc>
          <w:tcPr>
            <w:tcW w:type="dxa" w:w="2835"/>
            <w:shd w:fill="F1F5F9" w:val="clear"/>
          </w:tcPr>
          <w:p>
            <w:r/>
            <w:r>
              <w:rPr>
                <w:rFonts w:ascii="Calibri" w:hAnsi="Calibri"/>
                <w:b/>
                <w:sz w:val="20"/>
              </w:rPr>
              <w:t>Verified By</w:t>
            </w:r>
          </w:p>
        </w:tc>
        <w:tc>
          <w:tcPr>
            <w:tcW w:type="dxa" w:w="5669"/>
          </w:tcPr>
          <w:p>
            <w:r/>
            <w:r>
              <w:rPr>
                <w:rFonts w:ascii="Calibri" w:hAnsi="Calibri"/>
                <w:b w:val="0"/>
                <w:sz w:val="20"/>
              </w:rPr>
              <w:t>Xcapit Security Team</w:t>
            </w:r>
          </w:p>
        </w:tc>
      </w:tr>
      <w:tr>
        <w:tc>
          <w:tcPr>
            <w:tcW w:type="dxa" w:w="2835"/>
            <w:shd w:fill="F1F5F9" w:val="clear"/>
          </w:tcPr>
          <w:p>
            <w:r/>
            <w:r>
              <w:rPr>
                <w:rFonts w:ascii="Calibri" w:hAnsi="Calibri"/>
                <w:b/>
                <w:sz w:val="20"/>
              </w:rPr>
              <w:t>Total Findings</w:t>
            </w:r>
          </w:p>
        </w:tc>
        <w:tc>
          <w:tcPr>
            <w:tcW w:type="dxa" w:w="5669"/>
          </w:tcPr>
          <w:p>
            <w:r/>
            <w:r>
              <w:rPr>
                <w:rFonts w:ascii="Calibri" w:hAnsi="Calibri"/>
                <w:b w:val="0"/>
                <w:sz w:val="20"/>
              </w:rPr>
              <w:t>25</w:t>
            </w:r>
          </w:p>
        </w:tc>
      </w:tr>
      <w:tr>
        <w:tc>
          <w:tcPr>
            <w:tcW w:type="dxa" w:w="2835"/>
            <w:shd w:fill="F1F5F9" w:val="clear"/>
          </w:tcPr>
          <w:p>
            <w:r/>
            <w:r>
              <w:rPr>
                <w:rFonts w:ascii="Calibri" w:hAnsi="Calibri"/>
                <w:b/>
                <w:sz w:val="20"/>
              </w:rPr>
              <w:t>Resolved Findings</w:t>
            </w:r>
          </w:p>
        </w:tc>
        <w:tc>
          <w:tcPr>
            <w:tcW w:type="dxa" w:w="5669"/>
          </w:tcPr>
          <w:p>
            <w:r/>
            <w:r>
              <w:rPr>
                <w:rFonts w:ascii="Calibri" w:hAnsi="Calibri"/>
                <w:b w:val="0"/>
                <w:sz w:val="20"/>
              </w:rPr>
              <w:t>25</w:t>
            </w:r>
          </w:p>
        </w:tc>
      </w:tr>
      <w:tr>
        <w:tc>
          <w:tcPr>
            <w:tcW w:type="dxa" w:w="2835"/>
            <w:shd w:fill="F1F5F9" w:val="clear"/>
          </w:tcPr>
          <w:p>
            <w:r/>
            <w:r>
              <w:rPr>
                <w:rFonts w:ascii="Calibri" w:hAnsi="Calibri"/>
                <w:b/>
                <w:sz w:val="20"/>
              </w:rPr>
              <w:t>Open Findings</w:t>
            </w:r>
          </w:p>
        </w:tc>
        <w:tc>
          <w:tcPr>
            <w:tcW w:type="dxa" w:w="5669"/>
          </w:tcPr>
          <w:p>
            <w:r/>
            <w:r>
              <w:rPr>
                <w:rFonts w:ascii="Calibri" w:hAnsi="Calibri"/>
                <w:b w:val="0"/>
                <w:sz w:val="20"/>
              </w:rPr>
              <w:t>0</w:t>
            </w:r>
          </w:p>
        </w:tc>
      </w:tr>
    </w:tbl>
    <w:p>
      <w:r>
        <w:br w:type="page"/>
      </w:r>
    </w:p>
    <w:p>
      <w:pPr>
        <w:pStyle w:val="Heading1"/>
      </w:pPr>
      <w:r>
        <w:t>1. Purpose</w:t>
      </w:r>
    </w:p>
    <w:p>
      <w:r>
        <w:t>This document certifies the closure of all security findings identified during the Internal Security Review of the Xcapit Privacy Platform (v2.0), covering frontend, backend API, and deployment infrastructure. Each finding has been remediated, verified, and confirmed as resolved.</w:t>
      </w:r>
    </w:p>
    <w:p>
      <w:pPr>
        <w:pStyle w:val="Heading1"/>
      </w:pPr>
      <w:r>
        <w:t>2. Closure Summary</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35"/>
        <w:gridCol w:w="3135"/>
        <w:gridCol w:w="3135"/>
      </w:tblGrid>
      <w:tr>
        <w:tc>
          <w:tcPr>
            <w:tcW w:type="dxa" w:w="3135"/>
            <w:shd w:fill="1E293B" w:val="clear"/>
          </w:tcPr>
          <w:p>
            <w:pPr>
              <w:jc w:val="center"/>
            </w:pPr>
            <w:r/>
            <w:r>
              <w:rPr>
                <w:rFonts w:ascii="Calibri" w:hAnsi="Calibri"/>
                <w:b/>
                <w:color w:val="FFFFFF"/>
                <w:sz w:val="24"/>
              </w:rPr>
              <w:t>25</w:t>
              <w:br/>
              <w:t>Total Findings</w:t>
            </w:r>
          </w:p>
        </w:tc>
        <w:tc>
          <w:tcPr>
            <w:tcW w:type="dxa" w:w="3135"/>
            <w:shd w:fill="059669" w:val="clear"/>
          </w:tcPr>
          <w:p>
            <w:pPr>
              <w:jc w:val="center"/>
            </w:pPr>
            <w:r/>
            <w:r>
              <w:rPr>
                <w:rFonts w:ascii="Calibri" w:hAnsi="Calibri"/>
                <w:b/>
                <w:color w:val="FFFFFF"/>
                <w:sz w:val="24"/>
              </w:rPr>
              <w:t>25</w:t>
              <w:br/>
              <w:t>Resolved</w:t>
            </w:r>
          </w:p>
        </w:tc>
        <w:tc>
          <w:tcPr>
            <w:tcW w:type="dxa" w:w="3135"/>
            <w:shd w:fill="D1FAE5" w:val="clear"/>
          </w:tcPr>
          <w:p>
            <w:pPr>
              <w:jc w:val="center"/>
            </w:pPr>
            <w:r/>
            <w:r>
              <w:rPr>
                <w:rFonts w:ascii="Calibri" w:hAnsi="Calibri"/>
                <w:b/>
                <w:color w:val="059669"/>
                <w:sz w:val="24"/>
              </w:rPr>
              <w:t>0</w:t>
              <w:br/>
              <w:t>Open</w:t>
            </w:r>
          </w:p>
        </w:tc>
      </w:tr>
    </w:tbl>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E293B" w:val="clear"/>
          </w:tcPr>
          <w:p>
            <w:pPr>
              <w:jc w:val="center"/>
            </w:pPr>
            <w:r/>
            <w:r>
              <w:rPr>
                <w:rFonts w:ascii="Calibri" w:hAnsi="Calibri"/>
                <w:b/>
                <w:color w:val="FFFFFF"/>
                <w:sz w:val="20"/>
              </w:rPr>
              <w:t>Severity</w:t>
            </w:r>
          </w:p>
        </w:tc>
        <w:tc>
          <w:tcPr>
            <w:tcW w:type="dxa" w:w="2351"/>
            <w:shd w:fill="1E293B" w:val="clear"/>
          </w:tcPr>
          <w:p>
            <w:pPr>
              <w:jc w:val="center"/>
            </w:pPr>
            <w:r/>
            <w:r>
              <w:rPr>
                <w:rFonts w:ascii="Calibri" w:hAnsi="Calibri"/>
                <w:b/>
                <w:color w:val="FFFFFF"/>
                <w:sz w:val="20"/>
              </w:rPr>
              <w:t>Found</w:t>
            </w:r>
          </w:p>
        </w:tc>
        <w:tc>
          <w:tcPr>
            <w:tcW w:type="dxa" w:w="2351"/>
            <w:shd w:fill="1E293B" w:val="clear"/>
          </w:tcPr>
          <w:p>
            <w:pPr>
              <w:jc w:val="center"/>
            </w:pPr>
            <w:r/>
            <w:r>
              <w:rPr>
                <w:rFonts w:ascii="Calibri" w:hAnsi="Calibri"/>
                <w:b/>
                <w:color w:val="FFFFFF"/>
                <w:sz w:val="20"/>
              </w:rPr>
              <w:t>Resolved</w:t>
            </w:r>
          </w:p>
        </w:tc>
        <w:tc>
          <w:tcPr>
            <w:tcW w:type="dxa" w:w="2351"/>
            <w:shd w:fill="1E293B" w:val="clear"/>
          </w:tcPr>
          <w:p>
            <w:pPr>
              <w:jc w:val="center"/>
            </w:pPr>
            <w:r/>
            <w:r>
              <w:rPr>
                <w:rFonts w:ascii="Calibri" w:hAnsi="Calibri"/>
                <w:b/>
                <w:color w:val="FFFFFF"/>
                <w:sz w:val="20"/>
              </w:rPr>
              <w:t>Open</w:t>
            </w:r>
          </w:p>
        </w:tc>
      </w:tr>
      <w:tr>
        <w:tc>
          <w:tcPr>
            <w:tcW w:type="dxa" w:w="2351"/>
            <w:shd w:fill="FEE2E2" w:val="clear"/>
          </w:tcPr>
          <w:p>
            <w:pPr>
              <w:jc w:val="center"/>
            </w:pPr>
            <w:r/>
            <w:r>
              <w:rPr>
                <w:rFonts w:ascii="Calibri" w:hAnsi="Calibri"/>
                <w:b/>
                <w:sz w:val="20"/>
              </w:rPr>
              <w:t>HIGH</w:t>
            </w:r>
          </w:p>
        </w:tc>
        <w:tc>
          <w:tcPr>
            <w:tcW w:type="dxa" w:w="2351"/>
          </w:tcPr>
          <w:p>
            <w:pPr>
              <w:jc w:val="center"/>
            </w:pPr>
            <w:r/>
            <w:r>
              <w:rPr>
                <w:rFonts w:ascii="Calibri" w:hAnsi="Calibri"/>
                <w:b w:val="0"/>
                <w:sz w:val="20"/>
              </w:rPr>
              <w:t>7</w:t>
            </w:r>
          </w:p>
        </w:tc>
        <w:tc>
          <w:tcPr>
            <w:tcW w:type="dxa" w:w="2351"/>
          </w:tcPr>
          <w:p>
            <w:pPr>
              <w:jc w:val="center"/>
            </w:pPr>
            <w:r/>
            <w:r>
              <w:rPr>
                <w:rFonts w:ascii="Calibri" w:hAnsi="Calibri"/>
                <w:b w:val="0"/>
                <w:color w:val="059669"/>
                <w:sz w:val="20"/>
              </w:rPr>
              <w:t>7</w:t>
            </w:r>
          </w:p>
        </w:tc>
        <w:tc>
          <w:tcPr>
            <w:tcW w:type="dxa" w:w="2351"/>
          </w:tcPr>
          <w:p>
            <w:pPr>
              <w:jc w:val="center"/>
            </w:pPr>
            <w:r/>
            <w:r>
              <w:rPr>
                <w:rFonts w:ascii="Calibri" w:hAnsi="Calibri"/>
                <w:b w:val="0"/>
                <w:sz w:val="20"/>
              </w:rPr>
              <w:t>0</w:t>
            </w:r>
          </w:p>
        </w:tc>
      </w:tr>
      <w:tr>
        <w:tc>
          <w:tcPr>
            <w:tcW w:type="dxa" w:w="2351"/>
            <w:shd w:fill="FEF3C7" w:val="clear"/>
          </w:tcPr>
          <w:p>
            <w:pPr>
              <w:jc w:val="center"/>
            </w:pPr>
            <w:r/>
            <w:r>
              <w:rPr>
                <w:rFonts w:ascii="Calibri" w:hAnsi="Calibri"/>
                <w:b/>
                <w:sz w:val="20"/>
              </w:rPr>
              <w:t>MEDIUM</w:t>
            </w:r>
          </w:p>
        </w:tc>
        <w:tc>
          <w:tcPr>
            <w:tcW w:type="dxa" w:w="2351"/>
          </w:tcPr>
          <w:p>
            <w:pPr>
              <w:jc w:val="center"/>
            </w:pPr>
            <w:r/>
            <w:r>
              <w:rPr>
                <w:rFonts w:ascii="Calibri" w:hAnsi="Calibri"/>
                <w:b w:val="0"/>
                <w:sz w:val="20"/>
              </w:rPr>
              <w:t>10</w:t>
            </w:r>
          </w:p>
        </w:tc>
        <w:tc>
          <w:tcPr>
            <w:tcW w:type="dxa" w:w="2351"/>
          </w:tcPr>
          <w:p>
            <w:pPr>
              <w:jc w:val="center"/>
            </w:pPr>
            <w:r/>
            <w:r>
              <w:rPr>
                <w:rFonts w:ascii="Calibri" w:hAnsi="Calibri"/>
                <w:b w:val="0"/>
                <w:color w:val="059669"/>
                <w:sz w:val="20"/>
              </w:rPr>
              <w:t>10</w:t>
            </w:r>
          </w:p>
        </w:tc>
        <w:tc>
          <w:tcPr>
            <w:tcW w:type="dxa" w:w="2351"/>
          </w:tcPr>
          <w:p>
            <w:pPr>
              <w:jc w:val="center"/>
            </w:pPr>
            <w:r/>
            <w:r>
              <w:rPr>
                <w:rFonts w:ascii="Calibri" w:hAnsi="Calibri"/>
                <w:b w:val="0"/>
                <w:sz w:val="20"/>
              </w:rPr>
              <w:t>0</w:t>
            </w:r>
          </w:p>
        </w:tc>
      </w:tr>
      <w:tr>
        <w:tc>
          <w:tcPr>
            <w:tcW w:type="dxa" w:w="2351"/>
            <w:shd w:fill="DBEAFE" w:val="clear"/>
          </w:tcPr>
          <w:p>
            <w:pPr>
              <w:jc w:val="center"/>
            </w:pPr>
            <w:r/>
            <w:r>
              <w:rPr>
                <w:rFonts w:ascii="Calibri" w:hAnsi="Calibri"/>
                <w:b/>
                <w:sz w:val="20"/>
              </w:rPr>
              <w:t>LOW</w:t>
            </w:r>
          </w:p>
        </w:tc>
        <w:tc>
          <w:tcPr>
            <w:tcW w:type="dxa" w:w="2351"/>
          </w:tcPr>
          <w:p>
            <w:pPr>
              <w:jc w:val="center"/>
            </w:pPr>
            <w:r/>
            <w:r>
              <w:rPr>
                <w:rFonts w:ascii="Calibri" w:hAnsi="Calibri"/>
                <w:b w:val="0"/>
                <w:sz w:val="20"/>
              </w:rPr>
              <w:t>5</w:t>
            </w:r>
          </w:p>
        </w:tc>
        <w:tc>
          <w:tcPr>
            <w:tcW w:type="dxa" w:w="2351"/>
          </w:tcPr>
          <w:p>
            <w:pPr>
              <w:jc w:val="center"/>
            </w:pPr>
            <w:r/>
            <w:r>
              <w:rPr>
                <w:rFonts w:ascii="Calibri" w:hAnsi="Calibri"/>
                <w:b w:val="0"/>
                <w:color w:val="059669"/>
                <w:sz w:val="20"/>
              </w:rPr>
              <w:t>5</w:t>
            </w:r>
          </w:p>
        </w:tc>
        <w:tc>
          <w:tcPr>
            <w:tcW w:type="dxa" w:w="2351"/>
          </w:tcPr>
          <w:p>
            <w:pPr>
              <w:jc w:val="center"/>
            </w:pPr>
            <w:r/>
            <w:r>
              <w:rPr>
                <w:rFonts w:ascii="Calibri" w:hAnsi="Calibri"/>
                <w:b w:val="0"/>
                <w:sz w:val="20"/>
              </w:rPr>
              <w:t>0</w:t>
            </w:r>
          </w:p>
        </w:tc>
      </w:tr>
      <w:tr>
        <w:tc>
          <w:tcPr>
            <w:tcW w:type="dxa" w:w="2351"/>
            <w:shd w:fill="F0FDF4" w:val="clear"/>
          </w:tcPr>
          <w:p>
            <w:pPr>
              <w:jc w:val="center"/>
            </w:pPr>
            <w:r/>
            <w:r>
              <w:rPr>
                <w:rFonts w:ascii="Calibri" w:hAnsi="Calibri"/>
                <w:b/>
                <w:sz w:val="20"/>
              </w:rPr>
              <w:t>INFO</w:t>
            </w:r>
          </w:p>
        </w:tc>
        <w:tc>
          <w:tcPr>
            <w:tcW w:type="dxa" w:w="2351"/>
          </w:tcPr>
          <w:p>
            <w:pPr>
              <w:jc w:val="center"/>
            </w:pPr>
            <w:r/>
            <w:r>
              <w:rPr>
                <w:rFonts w:ascii="Calibri" w:hAnsi="Calibri"/>
                <w:b w:val="0"/>
                <w:sz w:val="20"/>
              </w:rPr>
              <w:t>3</w:t>
            </w:r>
          </w:p>
        </w:tc>
        <w:tc>
          <w:tcPr>
            <w:tcW w:type="dxa" w:w="2351"/>
          </w:tcPr>
          <w:p>
            <w:pPr>
              <w:jc w:val="center"/>
            </w:pPr>
            <w:r/>
            <w:r>
              <w:rPr>
                <w:rFonts w:ascii="Calibri" w:hAnsi="Calibri"/>
                <w:b w:val="0"/>
                <w:color w:val="059669"/>
                <w:sz w:val="20"/>
              </w:rPr>
              <w:t>3</w:t>
            </w:r>
          </w:p>
        </w:tc>
        <w:tc>
          <w:tcPr>
            <w:tcW w:type="dxa" w:w="2351"/>
          </w:tcPr>
          <w:p>
            <w:pPr>
              <w:jc w:val="center"/>
            </w:pPr>
            <w:r/>
            <w:r>
              <w:rPr>
                <w:rFonts w:ascii="Calibri" w:hAnsi="Calibri"/>
                <w:b w:val="0"/>
                <w:sz w:val="20"/>
              </w:rPr>
              <w:t>0</w:t>
            </w:r>
          </w:p>
        </w:tc>
      </w:tr>
    </w:tbl>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E293B" w:val="clear"/>
          </w:tcPr>
          <w:p>
            <w:pPr>
              <w:jc w:val="center"/>
            </w:pPr>
            <w:r/>
            <w:r>
              <w:rPr>
                <w:rFonts w:ascii="Calibri" w:hAnsi="Calibri"/>
                <w:b/>
                <w:color w:val="FFFFFF"/>
                <w:sz w:val="20"/>
              </w:rPr>
              <w:t>Area</w:t>
            </w:r>
          </w:p>
        </w:tc>
        <w:tc>
          <w:tcPr>
            <w:tcW w:type="dxa" w:w="2351"/>
            <w:shd w:fill="1E293B" w:val="clear"/>
          </w:tcPr>
          <w:p>
            <w:pPr>
              <w:jc w:val="center"/>
            </w:pPr>
            <w:r/>
            <w:r>
              <w:rPr>
                <w:rFonts w:ascii="Calibri" w:hAnsi="Calibri"/>
                <w:b/>
                <w:color w:val="FFFFFF"/>
                <w:sz w:val="20"/>
              </w:rPr>
              <w:t>Found</w:t>
            </w:r>
          </w:p>
        </w:tc>
        <w:tc>
          <w:tcPr>
            <w:tcW w:type="dxa" w:w="2351"/>
            <w:shd w:fill="1E293B" w:val="clear"/>
          </w:tcPr>
          <w:p>
            <w:pPr>
              <w:jc w:val="center"/>
            </w:pPr>
            <w:r/>
            <w:r>
              <w:rPr>
                <w:rFonts w:ascii="Calibri" w:hAnsi="Calibri"/>
                <w:b/>
                <w:color w:val="FFFFFF"/>
                <w:sz w:val="20"/>
              </w:rPr>
              <w:t>Resolved</w:t>
            </w:r>
          </w:p>
        </w:tc>
        <w:tc>
          <w:tcPr>
            <w:tcW w:type="dxa" w:w="2351"/>
            <w:shd w:fill="1E293B" w:val="clear"/>
          </w:tcPr>
          <w:p>
            <w:pPr>
              <w:jc w:val="center"/>
            </w:pPr>
            <w:r/>
            <w:r>
              <w:rPr>
                <w:rFonts w:ascii="Calibri" w:hAnsi="Calibri"/>
                <w:b/>
                <w:color w:val="FFFFFF"/>
                <w:sz w:val="20"/>
              </w:rPr>
              <w:t>Open</w:t>
            </w:r>
          </w:p>
        </w:tc>
      </w:tr>
      <w:tr>
        <w:tc>
          <w:tcPr>
            <w:tcW w:type="dxa" w:w="2351"/>
            <w:shd w:fill="F1F5F9" w:val="clear"/>
          </w:tcPr>
          <w:p>
            <w:r/>
            <w:r>
              <w:rPr>
                <w:rFonts w:ascii="Calibri" w:hAnsi="Calibri"/>
                <w:b/>
                <w:sz w:val="20"/>
              </w:rPr>
              <w:t>Frontend</w:t>
            </w:r>
          </w:p>
        </w:tc>
        <w:tc>
          <w:tcPr>
            <w:tcW w:type="dxa" w:w="2351"/>
          </w:tcPr>
          <w:p>
            <w:pPr>
              <w:jc w:val="center"/>
            </w:pPr>
            <w:r/>
            <w:r>
              <w:rPr>
                <w:rFonts w:ascii="Calibri" w:hAnsi="Calibri"/>
                <w:b w:val="0"/>
                <w:sz w:val="20"/>
              </w:rPr>
              <w:t>8</w:t>
            </w:r>
          </w:p>
        </w:tc>
        <w:tc>
          <w:tcPr>
            <w:tcW w:type="dxa" w:w="2351"/>
          </w:tcPr>
          <w:p>
            <w:pPr>
              <w:jc w:val="center"/>
            </w:pPr>
            <w:r/>
            <w:r>
              <w:rPr>
                <w:rFonts w:ascii="Calibri" w:hAnsi="Calibri"/>
                <w:b w:val="0"/>
                <w:color w:val="059669"/>
                <w:sz w:val="20"/>
              </w:rPr>
              <w:t>8</w:t>
            </w:r>
          </w:p>
        </w:tc>
        <w:tc>
          <w:tcPr>
            <w:tcW w:type="dxa" w:w="2351"/>
          </w:tcPr>
          <w:p>
            <w:pPr>
              <w:jc w:val="center"/>
            </w:pPr>
            <w:r/>
            <w:r>
              <w:rPr>
                <w:rFonts w:ascii="Calibri" w:hAnsi="Calibri"/>
                <w:b w:val="0"/>
                <w:sz w:val="20"/>
              </w:rPr>
              <w:t>0</w:t>
            </w:r>
          </w:p>
        </w:tc>
      </w:tr>
      <w:tr>
        <w:tc>
          <w:tcPr>
            <w:tcW w:type="dxa" w:w="2351"/>
            <w:shd w:fill="F1F5F9" w:val="clear"/>
          </w:tcPr>
          <w:p>
            <w:r/>
            <w:r>
              <w:rPr>
                <w:rFonts w:ascii="Calibri" w:hAnsi="Calibri"/>
                <w:b/>
                <w:sz w:val="20"/>
              </w:rPr>
              <w:t>Backend</w:t>
            </w:r>
          </w:p>
        </w:tc>
        <w:tc>
          <w:tcPr>
            <w:tcW w:type="dxa" w:w="2351"/>
          </w:tcPr>
          <w:p>
            <w:pPr>
              <w:jc w:val="center"/>
            </w:pPr>
            <w:r/>
            <w:r>
              <w:rPr>
                <w:rFonts w:ascii="Calibri" w:hAnsi="Calibri"/>
                <w:b w:val="0"/>
                <w:sz w:val="20"/>
              </w:rPr>
              <w:t>10</w:t>
            </w:r>
          </w:p>
        </w:tc>
        <w:tc>
          <w:tcPr>
            <w:tcW w:type="dxa" w:w="2351"/>
          </w:tcPr>
          <w:p>
            <w:pPr>
              <w:jc w:val="center"/>
            </w:pPr>
            <w:r/>
            <w:r>
              <w:rPr>
                <w:rFonts w:ascii="Calibri" w:hAnsi="Calibri"/>
                <w:b w:val="0"/>
                <w:color w:val="059669"/>
                <w:sz w:val="20"/>
              </w:rPr>
              <w:t>10</w:t>
            </w:r>
          </w:p>
        </w:tc>
        <w:tc>
          <w:tcPr>
            <w:tcW w:type="dxa" w:w="2351"/>
          </w:tcPr>
          <w:p>
            <w:pPr>
              <w:jc w:val="center"/>
            </w:pPr>
            <w:r/>
            <w:r>
              <w:rPr>
                <w:rFonts w:ascii="Calibri" w:hAnsi="Calibri"/>
                <w:b w:val="0"/>
                <w:sz w:val="20"/>
              </w:rPr>
              <w:t>0</w:t>
            </w:r>
          </w:p>
        </w:tc>
      </w:tr>
      <w:tr>
        <w:tc>
          <w:tcPr>
            <w:tcW w:type="dxa" w:w="2351"/>
            <w:shd w:fill="F1F5F9" w:val="clear"/>
          </w:tcPr>
          <w:p>
            <w:r/>
            <w:r>
              <w:rPr>
                <w:rFonts w:ascii="Calibri" w:hAnsi="Calibri"/>
                <w:b/>
                <w:sz w:val="20"/>
              </w:rPr>
              <w:t>Deployment</w:t>
            </w:r>
          </w:p>
        </w:tc>
        <w:tc>
          <w:tcPr>
            <w:tcW w:type="dxa" w:w="2351"/>
          </w:tcPr>
          <w:p>
            <w:pPr>
              <w:jc w:val="center"/>
            </w:pPr>
            <w:r/>
            <w:r>
              <w:rPr>
                <w:rFonts w:ascii="Calibri" w:hAnsi="Calibri"/>
                <w:b w:val="0"/>
                <w:sz w:val="20"/>
              </w:rPr>
              <w:t>7</w:t>
            </w:r>
          </w:p>
        </w:tc>
        <w:tc>
          <w:tcPr>
            <w:tcW w:type="dxa" w:w="2351"/>
          </w:tcPr>
          <w:p>
            <w:pPr>
              <w:jc w:val="center"/>
            </w:pPr>
            <w:r/>
            <w:r>
              <w:rPr>
                <w:rFonts w:ascii="Calibri" w:hAnsi="Calibri"/>
                <w:b w:val="0"/>
                <w:color w:val="059669"/>
                <w:sz w:val="20"/>
              </w:rPr>
              <w:t>7</w:t>
            </w:r>
          </w:p>
        </w:tc>
        <w:tc>
          <w:tcPr>
            <w:tcW w:type="dxa" w:w="2351"/>
          </w:tcPr>
          <w:p>
            <w:pPr>
              <w:jc w:val="center"/>
            </w:pPr>
            <w:r/>
            <w:r>
              <w:rPr>
                <w:rFonts w:ascii="Calibri" w:hAnsi="Calibri"/>
                <w:b w:val="0"/>
                <w:sz w:val="20"/>
              </w:rPr>
              <w:t>0</w:t>
            </w:r>
          </w:p>
        </w:tc>
      </w:tr>
    </w:tbl>
    <w:p>
      <w:r>
        <w:br w:type="page"/>
      </w:r>
    </w:p>
    <w:p>
      <w:pPr>
        <w:pStyle w:val="Heading1"/>
      </w:pPr>
      <w:r>
        <w:t>3. Individual Finding Closure Details</w:t>
      </w:r>
    </w:p>
    <w:p>
      <w:pPr>
        <w:pStyle w:val="Heading2"/>
      </w:pPr>
      <w:r>
        <w:t>3.A Frontend Findings</w:t>
      </w:r>
    </w:p>
    <w:p>
      <w:pPr>
        <w:pStyle w:val="Heading3"/>
      </w:pPr>
      <w:r>
        <w:t>SEC-001: Missing Security Headers on Frontend</w:t>
      </w:r>
    </w:p>
    <w:p>
      <w:r>
        <w:rPr>
          <w:b/>
          <w:color w:val="059669"/>
        </w:rPr>
        <w:t>RESOLVED</w:t>
      </w:r>
      <w:r>
        <w:rPr>
          <w:b/>
        </w:rPr>
        <w:t xml:space="preserve">  |  Severity: HIGH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6,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Added 7 security headers to vercel.json: Content-Security-Policy (strict allowlist for script-src, connect-src limited to apifhe.xcapit.com, api.web3forms.com, arb1.arbitrum.io; frame-ancestors 'none'), Strict-Transport-Security (2 years, preload), X-Frame-Options (DENY), X-Content-Type-Options (nosniff), X-XSS-Protection, Referrer-Policy, Permissions-Policy (camera/mic/geo/payment disabled). Added immutable cache headers for hashed static assets.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curl -I https://appfhe.xcapit.com confirms all 7 headers present in HTTP/2 200 response.</w:t>
            </w:r>
          </w:p>
        </w:tc>
      </w:tr>
    </w:tbl>
    <w:p/>
    <w:p>
      <w:pPr>
        <w:pStyle w:val="Heading3"/>
      </w:pPr>
      <w:r>
        <w:t>SEC-002: Source Maps Exposed in Production Build</w:t>
      </w:r>
    </w:p>
    <w:p>
      <w:r>
        <w:rPr>
          <w:b/>
          <w:color w:val="059669"/>
        </w:rPr>
        <w:t>RESOLVED</w:t>
      </w:r>
      <w:r>
        <w:rPr>
          <w:b/>
        </w:rPr>
        <w:t xml:space="preserve">  |  Severity: HIGH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6,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Changed vite.config.js build.sourcemap from true to 'hidden' in production. Source map files are generated (available for Sentry upload) but not referenced in output JavaScript. 0 sourceMappingURL references in 64 JS output files.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grep -r 'sourceMappingURL' dist/assets/*.js returns 0 matches. 64 .map files present for Sentry.</w:t>
            </w:r>
          </w:p>
        </w:tc>
      </w:tr>
    </w:tbl>
    <w:p/>
    <w:p>
      <w:pPr>
        <w:pStyle w:val="Heading3"/>
      </w:pPr>
      <w:r>
        <w:t>SEC-003: No Error Boundary - Stack Trace Leakage</w:t>
      </w:r>
    </w:p>
    <w:p>
      <w:r>
        <w:rPr>
          <w:b/>
          <w:color w:val="059669"/>
        </w:rPr>
        <w:t>RESOLVED</w:t>
      </w:r>
      <w:r>
        <w:rPr>
          <w:b/>
        </w:rPr>
        <w:t xml:space="preserve">  |  Severity: MEDIUM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8,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29,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Created ErrorBoundary class component with getDerivedStateFromError and componentDidCatch lifecycle methods. Provides user-friendly fallback UI with 'Try Again' and 'Go to Dashboard' options. Reports errors to Sentry via dynamic import. Wraps entire App component in main.jsx.</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Injected test error - ErrorBoundary catches and displays fallback. No stack trace visible to user.</w:t>
            </w:r>
          </w:p>
        </w:tc>
      </w:tr>
    </w:tbl>
    <w:p/>
    <w:p>
      <w:pPr>
        <w:pStyle w:val="Heading3"/>
      </w:pPr>
      <w:r>
        <w:t>SEC-004: Console Logging Active in Production</w:t>
      </w:r>
    </w:p>
    <w:p>
      <w:r>
        <w:rPr>
          <w:b/>
          <w:color w:val="059669"/>
        </w:rPr>
        <w:t>RESOLVED</w:t>
      </w:r>
      <w:r>
        <w:rPr>
          <w:b/>
        </w:rPr>
        <w:t xml:space="preserve">  |  Severity: MEDIUM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6,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Added esbuild.drop: ['console', 'debugger'] to vite.config.js for production builds. All console.* and debugger statements stripped from application code at build time.</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grep confirms only 5 console.* occurrences in vendor libs (i18next, Sentry, React). Zero from app code.</w:t>
            </w:r>
          </w:p>
        </w:tc>
      </w:tr>
    </w:tbl>
    <w:p/>
    <w:p>
      <w:pPr>
        <w:pStyle w:val="Heading3"/>
      </w:pPr>
      <w:r>
        <w:t>SEC-005: No Code Splitting - Large Initial Bundle</w:t>
      </w:r>
    </w:p>
    <w:p>
      <w:r>
        <w:rPr>
          <w:b/>
          <w:color w:val="059669"/>
        </w:rPr>
        <w:t>RESOLVED</w:t>
      </w:r>
      <w:r>
        <w:rPr>
          <w:b/>
        </w:rPr>
        <w:t xml:space="preserve">  |  Severity: MEDIUM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8,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Converted all 37 page imports to React.lazy() with dynamic imports. Added Suspense wrapper with PageLoader fallback. Configured vendor chunk splitting (react, i18n, UI). Production build produces 64 separate JS chunks loaded on demand.</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Build produces 64 JS chunks. Initial bundle reduced from ~1.2MB to ~250KB.</w:t>
            </w:r>
          </w:p>
        </w:tc>
      </w:tr>
    </w:tbl>
    <w:p/>
    <w:p>
      <w:pPr>
        <w:pStyle w:val="Heading3"/>
      </w:pPr>
      <w:r>
        <w:t>SEC-006: Demo Constants Duplicated Across Files</w:t>
      </w:r>
    </w:p>
    <w:p>
      <w:r>
        <w:rPr>
          <w:b/>
          <w:color w:val="059669"/>
        </w:rPr>
        <w:t>RESOLVED</w:t>
      </w:r>
      <w:r>
        <w:rPr>
          <w:b/>
        </w:rPr>
        <w:t xml:space="preserve">  |  Severity: LOW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29,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Created single source of truth in config/demo.js with documentation. Both files now import and re-export for backward compatibility.</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grep confirms definition exists only in config/demo.js. Build succeeds.</w:t>
            </w:r>
          </w:p>
        </w:tc>
      </w:tr>
    </w:tbl>
    <w:p/>
    <w:p>
      <w:pPr>
        <w:pStyle w:val="Heading3"/>
      </w:pPr>
      <w:r>
        <w:t>SEC-007: Insufficient .gitignore Coverage</w:t>
      </w:r>
    </w:p>
    <w:p>
      <w:r>
        <w:rPr>
          <w:b/>
          <w:color w:val="059669"/>
        </w:rPr>
        <w:t>RESOLVED</w:t>
      </w:r>
      <w:r>
        <w:rPr>
          <w:b/>
        </w:rPr>
        <w:t xml:space="preserve">  |  Severity: LOW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6,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Expanded to cover: node_modules/, dist/, .env (all variants), .vercel, .DS_Store, Vite timestamp files, coverage/.</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git status confirms excluded artifacts are properly ignored.</w:t>
            </w:r>
          </w:p>
        </w:tc>
      </w:tr>
    </w:tbl>
    <w:p/>
    <w:p>
      <w:pPr>
        <w:pStyle w:val="Heading3"/>
      </w:pPr>
      <w:r>
        <w:t>SEC-008: No Frontend Error Monitoring</w:t>
      </w:r>
    </w:p>
    <w:p>
      <w:r>
        <w:rPr>
          <w:b/>
          <w:color w:val="059669"/>
        </w:rPr>
        <w:t>RESOLVED</w:t>
      </w:r>
      <w:r>
        <w:rPr>
          <w:b/>
        </w:rPr>
        <w:t xml:space="preserve">  |  Severity: INFO  |  Area: Frontend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30,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Integrated @sentry/react with conditional init via VITE_SENTRY_DSN. 10% traces sample rate, production-only, ResizeObserver noise filtering. ErrorBoundary reports errors to Sentry.</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Build succeeds with Sentry SDK. Without DSN, Sentry is a no-op.</w:t>
            </w:r>
          </w:p>
        </w:tc>
      </w:tr>
    </w:tbl>
    <w:p/>
    <w:p>
      <w:pPr>
        <w:pStyle w:val="Heading2"/>
      </w:pPr>
      <w:r>
        <w:t>3.B Backend Findings</w:t>
      </w:r>
    </w:p>
    <w:p>
      <w:pPr>
        <w:pStyle w:val="Heading3"/>
      </w:pPr>
      <w:r>
        <w:t>SEC-009: Django Secret Key Validation Missing</w:t>
      </w:r>
    </w:p>
    <w:p>
      <w:r>
        <w:rPr>
          <w:b/>
          <w:color w:val="059669"/>
        </w:rPr>
        <w:t>RESOLVED</w:t>
      </w:r>
      <w:r>
        <w:rPr>
          <w:b/>
        </w:rPr>
        <w:t xml:space="preserve">  |  Severity: HIGH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7,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15,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settings.py now raises ImproperlyConfigured if DJANGO_SECRET_KEY is not set. Separate JWT_SIGNING_KEY supported for token signing. OpenBao (Vault) integration added for production secret management with AppRole authentication and automatic key retrieval.</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Application fails to start without DJANGO_SECRET_KEY. Vault integration tested with OpenBao v2.1.0.</w:t>
            </w:r>
          </w:p>
        </w:tc>
      </w:tr>
    </w:tbl>
    <w:p/>
    <w:p>
      <w:pPr>
        <w:pStyle w:val="Heading3"/>
      </w:pPr>
      <w:r>
        <w:t>SEC-010: API Error Responses Leaking Internal Details</w:t>
      </w:r>
    </w:p>
    <w:p>
      <w:r>
        <w:rPr>
          <w:b/>
          <w:color w:val="059669"/>
        </w:rPr>
        <w:t>RESOLVED</w:t>
      </w:r>
      <w:r>
        <w:rPr>
          <w:b/>
        </w:rPr>
        <w:t xml:space="preserve">  |  Severity: HIGH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7,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16,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Implemented custom exception handler (apps/core/exceptions.py) with RFC 7807 compliant error format. All responses sanitized - never expose internal details. Security headers added to error responses. Exception types logged at appropriate levels (ValidationError: INFO, PermissionDenied: WARNING, Unhandled: ERROR with traceback). Custom exception classes: ServiceUnavailable (503), ConflictError (409), RateLimitExceeded (429), InsufficientPermissions (403), ResourceNotFound (404).</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Forced exceptions in test environment confirm sanitized JSON responses with no internal details.</w:t>
            </w:r>
          </w:p>
        </w:tc>
      </w:tr>
    </w:tbl>
    <w:p/>
    <w:p>
      <w:pPr>
        <w:pStyle w:val="Heading3"/>
      </w:pPr>
      <w:r>
        <w:t>SEC-011: No Brute-Force Protection on Authentication</w:t>
      </w:r>
    </w:p>
    <w:p>
      <w:r>
        <w:rPr>
          <w:b/>
          <w:color w:val="059669"/>
        </w:rPr>
        <w:t>RESOLVED</w:t>
      </w:r>
      <w:r>
        <w:rPr>
          <w:b/>
        </w:rPr>
        <w:t xml:space="preserve">  |  Severity: HIGH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7,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14,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Integrated django-axes with: 5 failed attempts limit, 30-minute cooloff period, lockout by user+IP combination, counter reset on successful login. Added AxesMiddleware and AxesStandaloneBackend to authentication backends. Strict rate limiting on auth endpoints (5 req/min in Nginx). DRF throttling at 100/hour anon, 1000/hour authenticated.</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6th failed login attempt returns 403 lockout. Counter resets after cooloff or successful auth.</w:t>
            </w:r>
          </w:p>
        </w:tc>
      </w:tr>
    </w:tbl>
    <w:p/>
    <w:p>
      <w:pPr>
        <w:pStyle w:val="Heading3"/>
      </w:pPr>
      <w:r>
        <w:t>SEC-012: API Keys Stored in Plaintext</w:t>
      </w:r>
    </w:p>
    <w:p>
      <w:r>
        <w:rPr>
          <w:b/>
          <w:color w:val="059669"/>
        </w:rPr>
        <w:t>RESOLVED</w:t>
      </w:r>
      <w:r>
        <w:rPr>
          <w:b/>
        </w:rPr>
        <w:t xml:space="preserve">  |  Severity: MEDIUM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8,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17,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API keys now hashed with SHA-256 before storage. Keys stored with prefix for lookup and hash for verification. Expiration support added. Last-used timestamp tracking. Permission-based access control (read/write/admin). Per-key rate limit configuration.</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Database inspection confirms only hashed values stored. Key verification works via hash comparison.</w:t>
            </w:r>
          </w:p>
        </w:tc>
      </w:tr>
    </w:tbl>
    <w:p/>
    <w:p>
      <w:pPr>
        <w:pStyle w:val="Heading3"/>
      </w:pPr>
      <w:r>
        <w:t>SEC-013: Insufficient Rate Limiting on API Endpoints</w:t>
      </w:r>
    </w:p>
    <w:p>
      <w:r>
        <w:rPr>
          <w:b/>
          <w:color w:val="059669"/>
        </w:rPr>
        <w:t>RESOLVED</w:t>
      </w:r>
      <w:r>
        <w:rPr>
          <w:b/>
        </w:rPr>
        <w:t xml:space="preserve">  |  Severity: MEDIUM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8,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Implemented three-layer rate limiting: (1) Nginx rate limiting zones - api_general (10/s), api_auth (5/min), api_heavy (1/s for FHE ops); (2) DRF throttling - 100/hour anon, 1000/hour auth; (3) Company tier-based limits via Redis - Free: 10/min + 100/day, Starter: 100/min + 5000/day, Professional: 500/min + 50000/day, Enterprise: 2000/min + unlimited. Atomic Redis-backed counting with circuit breaker fallback. Rate limit exceeded webhooks.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Rate limit headers in API responses. Exceeding limits returns 429 with retry-after.</w:t>
            </w:r>
          </w:p>
        </w:tc>
      </w:tr>
    </w:tbl>
    <w:p/>
    <w:p>
      <w:pPr>
        <w:pStyle w:val="Heading3"/>
      </w:pPr>
      <w:r>
        <w:t>SEC-014: Missing Audit Trail for Security Events</w:t>
      </w:r>
    </w:p>
    <w:p>
      <w:r>
        <w:rPr>
          <w:b/>
          <w:color w:val="059669"/>
        </w:rPr>
        <w:t>RESOLVED</w:t>
      </w:r>
      <w:r>
        <w:rPr>
          <w:b/>
        </w:rPr>
        <w:t xml:space="preserve">  |  Severity: MEDIUM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9,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19,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Implemented AuditLog model with: user, company, api_key_name, action, resource_type, resource_id, ip_address, user_agent, request_path, request_method, response_status. Extra data field sanitized (no PII). Indexed on action, resource_type, created_at, company. AuditService.log_from_request() for consistent logging. Request logging middleware with sensitive parameter redaction (password, token, key, secret). Correlation IDs across all requests.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API operations generate audit records. AuditLogViewer endpoint exposes filtered audit data.</w:t>
            </w:r>
          </w:p>
        </w:tc>
      </w:tr>
    </w:tbl>
    <w:p/>
    <w:p>
      <w:pPr>
        <w:pStyle w:val="Heading3"/>
      </w:pPr>
      <w:r>
        <w:t>SEC-015: Weak Password Policy</w:t>
      </w:r>
    </w:p>
    <w:p>
      <w:r>
        <w:rPr>
          <w:b/>
          <w:color w:val="059669"/>
        </w:rPr>
        <w:t>RESOLVED</w:t>
      </w:r>
      <w:r>
        <w:rPr>
          <w:b/>
        </w:rPr>
        <w:t xml:space="preserve">  |  Severity: MEDIUM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9,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15,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Enforced minimum 12 characters in production. Full validator stack: UserAttributeSimilarityValidator (prevents attribute reuse), MinimumLengthValidator (12 chars), CommonPasswordValidator (blocks common passwords), NumericPasswordValidator (blocks all-numeric).</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Registration with weak passwords returns validation errors. 12-char minimum enforced.</w:t>
            </w:r>
          </w:p>
        </w:tc>
      </w:tr>
    </w:tbl>
    <w:p/>
    <w:p>
      <w:pPr>
        <w:pStyle w:val="Heading2"/>
      </w:pPr>
      <w:r>
        <w:t>3.C Deployment Findings</w:t>
      </w:r>
    </w:p>
    <w:p>
      <w:pPr>
        <w:pStyle w:val="Heading3"/>
      </w:pPr>
      <w:r>
        <w:t>SEC-016: Docker Container Running as Root</w:t>
      </w:r>
    </w:p>
    <w:p>
      <w:r>
        <w:rPr>
          <w:b/>
          <w:color w:val="059669"/>
        </w:rPr>
        <w:t>RESOLVED</w:t>
      </w:r>
      <w:r>
        <w:rPr>
          <w:b/>
        </w:rPr>
        <w:t xml:space="preserve">  |  Severity: HIGH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7,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16,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Multi-stage Dockerfile with non-root 'django' user (UID 1000). Production image runs entirely as non-root. Read-only filesystem enforced via docker-compose (read_only: true) with /tmp writable. Static files mounted read-only. Builder stage separated from production image.</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docker exec confirms process runs as django:1000. Write attempts outside /tmp fail.</w:t>
            </w:r>
          </w:p>
        </w:tc>
      </w:tr>
    </w:tbl>
    <w:p/>
    <w:p>
      <w:pPr>
        <w:pStyle w:val="Heading3"/>
      </w:pPr>
      <w:r>
        <w:t>SEC-017: Database and Redis Ports Exposed to Host</w:t>
      </w:r>
    </w:p>
    <w:p>
      <w:r>
        <w:rPr>
          <w:b/>
          <w:color w:val="059669"/>
        </w:rPr>
        <w:t>RESOLVED</w:t>
      </w:r>
      <w:r>
        <w:rPr>
          <w:b/>
        </w:rPr>
        <w:t xml:space="preserve">  |  Severity: HIGH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7,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16,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Production docker-compose removes host port mappings for PostgreSQL and Redis. Services communicate only within the Docker network. Development docker-compose retains port mappings for local access. PostgreSQL health checks use internal networking.</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docker-compose.yml production config shows no ports: directive for db/redis services.</w:t>
            </w:r>
          </w:p>
        </w:tc>
      </w:tr>
    </w:tbl>
    <w:p/>
    <w:p>
      <w:pPr>
        <w:pStyle w:val="Heading3"/>
      </w:pPr>
      <w:r>
        <w:t>SEC-018: Nginx TLS Configuration Not Hardened</w:t>
      </w:r>
    </w:p>
    <w:p>
      <w:r>
        <w:rPr>
          <w:b/>
          <w:color w:val="059669"/>
        </w:rPr>
        <w:t>RESOLVED</w:t>
      </w:r>
      <w:r>
        <w:rPr>
          <w:b/>
        </w:rPr>
        <w:t xml:space="preserve">  |  Severity: MEDIUM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9,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25,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TLS restricted to v1.2 and v1.3 only. Modern ECDHE/DHE cipher suites configured. OCSP stapling enabled with public resolvers. Session configuration: 1-day timeout, 50MB cache, no session tickets. Optional 4096-bit DH parameters. Full security header suite mirroring frontend.</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SSL Labs-equivalent check confirms A+ rating. Only TLS 1.2/1.3 accepted.</w:t>
            </w:r>
          </w:p>
        </w:tc>
      </w:tr>
    </w:tbl>
    <w:p/>
    <w:p>
      <w:pPr>
        <w:pStyle w:val="Heading3"/>
      </w:pPr>
      <w:r>
        <w:t>SEC-019: No Request Path Filtering in Reverse Proxy</w:t>
      </w:r>
    </w:p>
    <w:p>
      <w:r>
        <w:rPr>
          <w:b/>
          <w:color w:val="059669"/>
        </w:rPr>
        <w:t>RESOLVED</w:t>
      </w:r>
      <w:r>
        <w:rPr>
          <w:b/>
        </w:rPr>
        <w:t xml:space="preserve">  |  Severity: MEDIUM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25,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Nginx now blocks: hidden files (/.git, /.env, /.htaccess), PHP/ASP/JSP uploads, common attack paths (wordpress, phpmyadmin, etc.), and non-API paths. Connection limit: 50 concurrent per IP. Client body size: 10MB max. FHE endpoints get 300s timeout for heavy computation.</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curl to /.git, /.env, /wp-admin returns 403/444. Only /api/ and /health/ paths forwarded.</w:t>
            </w:r>
          </w:p>
        </w:tc>
      </w:tr>
    </w:tbl>
    <w:p/>
    <w:p>
      <w:pPr>
        <w:pStyle w:val="Heading3"/>
      </w:pPr>
      <w:r>
        <w:t>SEC-020: Gunicorn Worker Configuration Not Optimized for Security</w:t>
      </w:r>
    </w:p>
    <w:p>
      <w:r>
        <w:rPr>
          <w:b/>
          <w:color w:val="059669"/>
        </w:rPr>
        <w:t>RESOLVED</w:t>
      </w:r>
      <w:r>
        <w:rPr>
          <w:b/>
        </w:rPr>
        <w:t xml:space="preserve">  |  Severity: MEDIUM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21,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25,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Configured: 4 workers, 2 threads, 30s timeout, 10s graceful-timeout, max-requests 1000 with 50-request jitter (worker recycling), stdout access/error logging, output capture enabled.</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Gunicorn process shows configured parameters. Workers recycle after ~1000 requests.</w:t>
            </w:r>
          </w:p>
        </w:tc>
      </w:tr>
    </w:tbl>
    <w:p/>
    <w:p>
      <w:pPr>
        <w:pStyle w:val="Heading2"/>
      </w:pPr>
      <w:r>
        <w:t>3.B Backend Findings</w:t>
      </w:r>
    </w:p>
    <w:p>
      <w:pPr>
        <w:pStyle w:val="Heading3"/>
      </w:pPr>
      <w:r>
        <w:t>SEC-021: CORS Configuration Too Permissive</w:t>
      </w:r>
    </w:p>
    <w:p>
      <w:r>
        <w:rPr>
          <w:b/>
          <w:color w:val="059669"/>
        </w:rPr>
        <w:t>RESOLVED</w:t>
      </w:r>
      <w:r>
        <w:rPr>
          <w:b/>
        </w:rPr>
        <w:t xml:space="preserve">  |  Severity: LOW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CORS_ALLOWED_ORIGINS strictly limited to: production Vercel domains (appfhe.xcapit.com, xcapit-privacy.vercel.app) and localhost only when DEBUG=True. CORS_ALLOW_CREDENTIALS=True for authenticated cross-origin requests. Custom headers allowlist.</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Cross-origin request from unauthorized domain returns no CORS headers.</w:t>
            </w:r>
          </w:p>
        </w:tc>
      </w:tr>
    </w:tbl>
    <w:p/>
    <w:p>
      <w:pPr>
        <w:pStyle w:val="Heading3"/>
      </w:pPr>
      <w:r>
        <w:t>SEC-022: Health Check Endpoints Exposing Internal Status</w:t>
      </w:r>
    </w:p>
    <w:p>
      <w:r>
        <w:rPr>
          <w:b/>
          <w:color w:val="059669"/>
        </w:rPr>
        <w:t>RESOLVED</w:t>
      </w:r>
      <w:r>
        <w:rPr>
          <w:b/>
        </w:rPr>
        <w:t xml:space="preserve">  |  Severity: LOW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12,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20,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25,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Three-tier health check system: (1) Liveness /health/live/ - minimal 200 OK; (2) Readiness /health/ready/ - DB+Redis status without details; (3) Full /health/ - detailed status for internal monitoring only. Nginx excludes health checks from rate limiting. Component checks include latency thresholds (DB &lt;1s, Redis &lt;100ms, Blockchain &lt;5s).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Public liveness check returns minimal response. Full health check accessible only internally.</w:t>
            </w:r>
          </w:p>
        </w:tc>
      </w:tr>
    </w:tbl>
    <w:p/>
    <w:p>
      <w:pPr>
        <w:pStyle w:val="Heading2"/>
      </w:pPr>
      <w:r>
        <w:t>3.C Deployment Findings</w:t>
      </w:r>
    </w:p>
    <w:p>
      <w:pPr>
        <w:pStyle w:val="Heading3"/>
      </w:pPr>
      <w:r>
        <w:t>SEC-023: Celery Task Serialization Accepting Pickle</w:t>
      </w:r>
    </w:p>
    <w:p>
      <w:r>
        <w:rPr>
          <w:b/>
          <w:color w:val="059669"/>
        </w:rPr>
        <w:t>RESOLVED</w:t>
      </w:r>
      <w:r>
        <w:rPr>
          <w:b/>
        </w:rPr>
        <w:t xml:space="preserve">  |  Severity: LOW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12,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18,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Celery configured to JSON-only serialization: CELERY_ACCEPT_CONTENT=['json'], CELERY_TASK_SERIALIZER='json', CELERY_RESULT_SERIALIZER='json'. Task time limit: 30 minutes. Result expiration: 24 hours. Task routing by queue (reports, governance, training, blockchain).</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Attempt to submit pickle-serialized task is rejected. Only JSON accepted.</w:t>
            </w:r>
          </w:p>
        </w:tc>
      </w:tr>
    </w:tbl>
    <w:p/>
    <w:p>
      <w:pPr>
        <w:pStyle w:val="Heading2"/>
      </w:pPr>
      <w:r>
        <w:t>3.B Backend Findings</w:t>
      </w:r>
    </w:p>
    <w:p>
      <w:pPr>
        <w:pStyle w:val="Heading3"/>
      </w:pPr>
      <w:r>
        <w:t>SEC-024: No Backend Error Monitoring in Production</w:t>
      </w:r>
    </w:p>
    <w:p>
      <w:r>
        <w:rPr>
          <w:b/>
          <w:color w:val="059669"/>
        </w:rPr>
        <w:t>RESOLVED</w:t>
      </w:r>
      <w:r>
        <w:rPr>
          <w:b/>
        </w:rPr>
        <w:t xml:space="preserve">  |  Severity: INFO  |  Area: Backend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10,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22,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25,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Integrated Sentry SDK with DjangoIntegration, CeleryIntegration, RedisIntegration. Performance monitoring (25% traces), profiling (10% profiles). send_default_pii=False. Structured JSON logging in production with correlation IDs. Request logging middleware with sensitive parameter redaction.</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Test exception triggers Sentry alert. JSON logs include correlation_id, user_id, company_id.</w:t>
            </w:r>
          </w:p>
        </w:tc>
      </w:tr>
    </w:tbl>
    <w:p/>
    <w:p>
      <w:pPr>
        <w:pStyle w:val="Heading2"/>
      </w:pPr>
      <w:r>
        <w:t>3.C Deployment Findings</w:t>
      </w:r>
    </w:p>
    <w:p>
      <w:pPr>
        <w:pStyle w:val="Heading3"/>
      </w:pPr>
      <w:r>
        <w:t>SEC-025: No Secrets Management Solution</w:t>
      </w:r>
    </w:p>
    <w:p>
      <w:r>
        <w:rPr>
          <w:b/>
          <w:color w:val="059669"/>
        </w:rPr>
        <w:t>RESOLVED</w:t>
      </w:r>
      <w:r>
        <w:rPr>
          <w:b/>
        </w:rPr>
        <w:t xml:space="preserve">  |  Severity: INFO  |  Area: Deployment</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1984"/>
            <w:shd w:fill="F1F5F9" w:val="clear"/>
          </w:tcPr>
          <w:p>
            <w:r/>
            <w:r>
              <w:rPr>
                <w:rFonts w:ascii="Calibri" w:hAnsi="Calibri"/>
                <w:b/>
                <w:sz w:val="18"/>
              </w:rPr>
              <w:t>Date Identified</w:t>
            </w:r>
          </w:p>
        </w:tc>
        <w:tc>
          <w:tcPr>
            <w:tcW w:type="dxa" w:w="7087"/>
          </w:tcPr>
          <w:p>
            <w:r/>
            <w:r>
              <w:rPr>
                <w:rFonts w:ascii="Calibri" w:hAnsi="Calibri"/>
                <w:b w:val="0"/>
                <w:sz w:val="18"/>
              </w:rPr>
              <w:t>January 12, 2026</w:t>
            </w:r>
          </w:p>
        </w:tc>
      </w:tr>
      <w:tr>
        <w:tc>
          <w:tcPr>
            <w:tcW w:type="dxa" w:w="1984"/>
            <w:shd w:fill="F1F5F9" w:val="clear"/>
          </w:tcPr>
          <w:p>
            <w:r/>
            <w:r>
              <w:rPr>
                <w:rFonts w:ascii="Calibri" w:hAnsi="Calibri"/>
                <w:b/>
                <w:sz w:val="18"/>
              </w:rPr>
              <w:t>Date Resolved</w:t>
            </w:r>
          </w:p>
        </w:tc>
        <w:tc>
          <w:tcPr>
            <w:tcW w:type="dxa" w:w="7087"/>
          </w:tcPr>
          <w:p>
            <w:r/>
            <w:r>
              <w:rPr>
                <w:rFonts w:ascii="Calibri" w:hAnsi="Calibri"/>
                <w:b w:val="0"/>
                <w:sz w:val="18"/>
              </w:rPr>
              <w:t>January 24, 2026</w:t>
            </w:r>
          </w:p>
        </w:tc>
      </w:tr>
      <w:tr>
        <w:tc>
          <w:tcPr>
            <w:tcW w:type="dxa" w:w="1984"/>
            <w:shd w:fill="F1F5F9" w:val="clear"/>
          </w:tcPr>
          <w:p>
            <w:r/>
            <w:r>
              <w:rPr>
                <w:rFonts w:ascii="Calibri" w:hAnsi="Calibri"/>
                <w:b/>
                <w:sz w:val="18"/>
              </w:rPr>
              <w:t>Date Verified</w:t>
            </w:r>
          </w:p>
        </w:tc>
        <w:tc>
          <w:tcPr>
            <w:tcW w:type="dxa" w:w="7087"/>
          </w:tcPr>
          <w:p>
            <w:r/>
            <w:r>
              <w:rPr>
                <w:rFonts w:ascii="Calibri" w:hAnsi="Calibri"/>
                <w:b w:val="0"/>
                <w:sz w:val="18"/>
              </w:rPr>
              <w:t>January 28, 2026</w:t>
            </w:r>
          </w:p>
        </w:tc>
      </w:tr>
      <w:tr>
        <w:tc>
          <w:tcPr>
            <w:tcW w:type="dxa" w:w="1984"/>
            <w:shd w:fill="F1F5F9" w:val="clear"/>
          </w:tcPr>
          <w:p>
            <w:r/>
            <w:r>
              <w:rPr>
                <w:rFonts w:ascii="Calibri" w:hAnsi="Calibri"/>
                <w:b/>
                <w:sz w:val="18"/>
              </w:rPr>
              <w:t>Remediation</w:t>
            </w:r>
          </w:p>
        </w:tc>
        <w:tc>
          <w:tcPr>
            <w:tcW w:type="dxa" w:w="7087"/>
          </w:tcPr>
          <w:p>
            <w:r/>
            <w:r>
              <w:rPr>
                <w:rFonts w:ascii="Calibri" w:hAnsi="Calibri"/>
                <w:b w:val="0"/>
                <w:sz w:val="18"/>
              </w:rPr>
              <w:t>Integrated OpenBao (HashiCorp Vault fork) v2.1.0 with: PostgreSQL HA backend, TLS 1.2 minimum, AES-256-GCM ciphers, AppRole authentication. Fallback to environment variables when Vault unavailable. Helper functions for retrieving database, Redis, and JWT secrets. AWS Secrets Manager integration for ECS deployments.</w:t>
            </w:r>
          </w:p>
        </w:tc>
      </w:tr>
      <w:tr>
        <w:tc>
          <w:tcPr>
            <w:tcW w:type="dxa" w:w="1984"/>
            <w:shd w:fill="F1F5F9" w:val="clear"/>
          </w:tcPr>
          <w:p>
            <w:r/>
            <w:r>
              <w:rPr>
                <w:rFonts w:ascii="Calibri" w:hAnsi="Calibri"/>
                <w:b/>
                <w:sz w:val="18"/>
              </w:rPr>
              <w:t>Verification</w:t>
            </w:r>
          </w:p>
        </w:tc>
        <w:tc>
          <w:tcPr>
            <w:tcW w:type="dxa" w:w="7087"/>
          </w:tcPr>
          <w:p>
            <w:r/>
            <w:r>
              <w:rPr>
                <w:rFonts w:ascii="Calibri" w:hAnsi="Calibri"/>
                <w:b w:val="0"/>
                <w:sz w:val="18"/>
              </w:rPr>
              <w:t>OpenBao serves secrets over TLS. Application retrieves credentials from Vault with AppRole auth.</w:t>
            </w:r>
          </w:p>
        </w:tc>
      </w:tr>
    </w:tbl>
    <w:p/>
    <w:p>
      <w:r>
        <w:br w:type="page"/>
      </w:r>
    </w:p>
    <w:p>
      <w:pPr>
        <w:pStyle w:val="Heading1"/>
      </w:pPr>
      <w:r>
        <w:t>4. Deployment Confirmation</w:t>
      </w:r>
    </w:p>
    <w:p>
      <w:r>
        <w:t>All remediations have been deployed and verified live:</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703"/>
        <w:gridCol w:w="4703"/>
      </w:tblGrid>
      <w:tr>
        <w:tc>
          <w:tcPr>
            <w:tcW w:type="dxa" w:w="4703"/>
            <w:shd w:fill="F1F5F9" w:val="clear"/>
          </w:tcPr>
          <w:p>
            <w:r/>
            <w:r>
              <w:rPr>
                <w:rFonts w:ascii="Calibri" w:hAnsi="Calibri"/>
                <w:b/>
                <w:sz w:val="20"/>
              </w:rPr>
              <w:t>Git Repository</w:t>
            </w:r>
          </w:p>
        </w:tc>
        <w:tc>
          <w:tcPr>
            <w:tcW w:type="dxa" w:w="4703"/>
          </w:tcPr>
          <w:p>
            <w:r/>
            <w:r>
              <w:rPr>
                <w:rFonts w:ascii="Calibri" w:hAnsi="Calibri"/>
                <w:b w:val="0"/>
                <w:sz w:val="20"/>
              </w:rPr>
              <w:t>GitLab - xcapit/privacy-platform (main branch)</w:t>
            </w:r>
          </w:p>
        </w:tc>
      </w:tr>
      <w:tr>
        <w:tc>
          <w:tcPr>
            <w:tcW w:type="dxa" w:w="4703"/>
            <w:shd w:fill="F1F5F9" w:val="clear"/>
          </w:tcPr>
          <w:p>
            <w:r/>
            <w:r>
              <w:rPr>
                <w:rFonts w:ascii="Calibri" w:hAnsi="Calibri"/>
                <w:b/>
                <w:sz w:val="20"/>
              </w:rPr>
              <w:t>Frontend Commit</w:t>
            </w:r>
          </w:p>
        </w:tc>
        <w:tc>
          <w:tcPr>
            <w:tcW w:type="dxa" w:w="4703"/>
          </w:tcPr>
          <w:p>
            <w:r/>
            <w:r>
              <w:rPr>
                <w:rFonts w:ascii="Calibri" w:hAnsi="Calibri"/>
                <w:b w:val="0"/>
                <w:sz w:val="20"/>
              </w:rPr>
              <w:t>27144ad - frontend hardening (January 30, 2026)</w:t>
            </w:r>
          </w:p>
        </w:tc>
      </w:tr>
      <w:tr>
        <w:tc>
          <w:tcPr>
            <w:tcW w:type="dxa" w:w="4703"/>
            <w:shd w:fill="F1F5F9" w:val="clear"/>
          </w:tcPr>
          <w:p>
            <w:r/>
            <w:r>
              <w:rPr>
                <w:rFonts w:ascii="Calibri" w:hAnsi="Calibri"/>
                <w:b/>
                <w:sz w:val="20"/>
              </w:rPr>
              <w:t>Frontend Deploy</w:t>
            </w:r>
          </w:p>
        </w:tc>
        <w:tc>
          <w:tcPr>
            <w:tcW w:type="dxa" w:w="4703"/>
          </w:tcPr>
          <w:p>
            <w:r/>
            <w:r>
              <w:rPr>
                <w:rFonts w:ascii="Calibri" w:hAnsi="Calibri"/>
                <w:b w:val="0"/>
                <w:sz w:val="20"/>
              </w:rPr>
              <w:t>Vercel production - https://appfhe.xcapit.com</w:t>
            </w:r>
          </w:p>
        </w:tc>
      </w:tr>
      <w:tr>
        <w:tc>
          <w:tcPr>
            <w:tcW w:type="dxa" w:w="4703"/>
            <w:shd w:fill="F1F5F9" w:val="clear"/>
          </w:tcPr>
          <w:p>
            <w:r/>
            <w:r>
              <w:rPr>
                <w:rFonts w:ascii="Calibri" w:hAnsi="Calibri"/>
                <w:b/>
                <w:sz w:val="20"/>
              </w:rPr>
              <w:t>Backend Deploy</w:t>
            </w:r>
          </w:p>
        </w:tc>
        <w:tc>
          <w:tcPr>
            <w:tcW w:type="dxa" w:w="4703"/>
          </w:tcPr>
          <w:p>
            <w:r/>
            <w:r>
              <w:rPr>
                <w:rFonts w:ascii="Calibri" w:hAnsi="Calibri"/>
                <w:b w:val="0"/>
                <w:sz w:val="20"/>
              </w:rPr>
              <w:t>Docker - Gunicorn + Nginx + PostgreSQL + Redis</w:t>
            </w:r>
          </w:p>
        </w:tc>
      </w:tr>
      <w:tr>
        <w:tc>
          <w:tcPr>
            <w:tcW w:type="dxa" w:w="4703"/>
            <w:shd w:fill="F1F5F9" w:val="clear"/>
          </w:tcPr>
          <w:p>
            <w:r/>
            <w:r>
              <w:rPr>
                <w:rFonts w:ascii="Calibri" w:hAnsi="Calibri"/>
                <w:b/>
                <w:sz w:val="20"/>
              </w:rPr>
              <w:t>Build Verification</w:t>
            </w:r>
          </w:p>
        </w:tc>
        <w:tc>
          <w:tcPr>
            <w:tcW w:type="dxa" w:w="4703"/>
          </w:tcPr>
          <w:p>
            <w:r/>
            <w:r>
              <w:rPr>
                <w:rFonts w:ascii="Calibri" w:hAnsi="Calibri"/>
                <w:b w:val="0"/>
                <w:sz w:val="20"/>
              </w:rPr>
              <w:t>Frontend: 64 chunks, 6.21s. Backend: 465+ tests passing.</w:t>
            </w:r>
          </w:p>
        </w:tc>
      </w:tr>
      <w:tr>
        <w:tc>
          <w:tcPr>
            <w:tcW w:type="dxa" w:w="4703"/>
            <w:shd w:fill="F1F5F9" w:val="clear"/>
          </w:tcPr>
          <w:p>
            <w:r/>
            <w:r>
              <w:rPr>
                <w:rFonts w:ascii="Calibri" w:hAnsi="Calibri"/>
                <w:b/>
                <w:sz w:val="20"/>
              </w:rPr>
              <w:t>Header Verification</w:t>
            </w:r>
          </w:p>
        </w:tc>
        <w:tc>
          <w:tcPr>
            <w:tcW w:type="dxa" w:w="4703"/>
          </w:tcPr>
          <w:p>
            <w:r/>
            <w:r>
              <w:rPr>
                <w:rFonts w:ascii="Calibri" w:hAnsi="Calibri"/>
                <w:b w:val="0"/>
                <w:sz w:val="20"/>
              </w:rPr>
              <w:t>curl -I confirms all security headers on both frontend and API</w:t>
            </w:r>
          </w:p>
        </w:tc>
      </w:tr>
      <w:tr>
        <w:tc>
          <w:tcPr>
            <w:tcW w:type="dxa" w:w="4703"/>
            <w:shd w:fill="F1F5F9" w:val="clear"/>
          </w:tcPr>
          <w:p>
            <w:r/>
            <w:r>
              <w:rPr>
                <w:rFonts w:ascii="Calibri" w:hAnsi="Calibri"/>
                <w:b/>
                <w:sz w:val="20"/>
              </w:rPr>
              <w:t>Secret Management</w:t>
            </w:r>
          </w:p>
        </w:tc>
        <w:tc>
          <w:tcPr>
            <w:tcW w:type="dxa" w:w="4703"/>
          </w:tcPr>
          <w:p>
            <w:r/>
            <w:r>
              <w:rPr>
                <w:rFonts w:ascii="Calibri" w:hAnsi="Calibri"/>
                <w:b w:val="0"/>
                <w:sz w:val="20"/>
              </w:rPr>
              <w:t>OpenBao v2.1.0 with TLS and AppRole authentication</w:t>
            </w:r>
          </w:p>
        </w:tc>
      </w:tr>
    </w:tbl>
    <w:p/>
    <w:p>
      <w:pPr>
        <w:pStyle w:val="Heading1"/>
      </w:pPr>
      <w:r>
        <w:t>5. Sign-Off</w:t>
      </w:r>
    </w:p>
    <w:p>
      <w:r>
        <w:t>By signing below, the undersigned confirms that all 25 findings from the Internal Security Review (v2.0) have been remediated, verified, and deployed to production. No open findings remain.</w:t>
      </w:r>
    </w:p>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51"/>
        <w:gridCol w:w="2351"/>
        <w:gridCol w:w="2351"/>
        <w:gridCol w:w="2351"/>
      </w:tblGrid>
      <w:tr>
        <w:tc>
          <w:tcPr>
            <w:tcW w:type="dxa" w:w="2351"/>
            <w:shd w:fill="1E293B" w:val="clear"/>
          </w:tcPr>
          <w:p>
            <w:r/>
            <w:r>
              <w:rPr>
                <w:rFonts w:ascii="Calibri" w:hAnsi="Calibri"/>
                <w:b/>
                <w:color w:val="FFFFFF"/>
                <w:sz w:val="20"/>
              </w:rPr>
              <w:t>Role</w:t>
            </w:r>
          </w:p>
        </w:tc>
        <w:tc>
          <w:tcPr>
            <w:tcW w:type="dxa" w:w="2351"/>
            <w:shd w:fill="1E293B" w:val="clear"/>
          </w:tcPr>
          <w:p>
            <w:r/>
            <w:r>
              <w:rPr>
                <w:rFonts w:ascii="Calibri" w:hAnsi="Calibri"/>
                <w:b/>
                <w:color w:val="FFFFFF"/>
                <w:sz w:val="20"/>
              </w:rPr>
              <w:t>Name</w:t>
            </w:r>
          </w:p>
        </w:tc>
        <w:tc>
          <w:tcPr>
            <w:tcW w:type="dxa" w:w="2351"/>
            <w:shd w:fill="1E293B" w:val="clear"/>
          </w:tcPr>
          <w:p>
            <w:r/>
            <w:r>
              <w:rPr>
                <w:rFonts w:ascii="Calibri" w:hAnsi="Calibri"/>
                <w:b/>
                <w:color w:val="FFFFFF"/>
                <w:sz w:val="20"/>
              </w:rPr>
              <w:t>Signature</w:t>
            </w:r>
          </w:p>
        </w:tc>
        <w:tc>
          <w:tcPr>
            <w:tcW w:type="dxa" w:w="2351"/>
            <w:shd w:fill="1E293B" w:val="clear"/>
          </w:tcPr>
          <w:p>
            <w:r/>
            <w:r>
              <w:rPr>
                <w:rFonts w:ascii="Calibri" w:hAnsi="Calibri"/>
                <w:b/>
                <w:color w:val="FFFFFF"/>
                <w:sz w:val="20"/>
              </w:rPr>
              <w:t>Date</w:t>
            </w:r>
          </w:p>
        </w:tc>
      </w:tr>
      <w:tr>
        <w:trPr>
          <w:trHeight w:val="720" w:hRule="atLeast"/>
        </w:trPr>
        <w:tc>
          <w:tcPr>
            <w:tcW w:type="dxa" w:w="2351"/>
            <w:shd w:fill="F1F5F9" w:val="clear"/>
          </w:tcPr>
          <w:p>
            <w:r/>
            <w:r>
              <w:rPr>
                <w:rFonts w:ascii="Calibri" w:hAnsi="Calibri"/>
                <w:b/>
                <w:sz w:val="20"/>
              </w:rPr>
              <w:t>Security Lead</w:t>
            </w:r>
          </w:p>
        </w:tc>
        <w:tc>
          <w:tcPr>
            <w:tcW w:type="dxa" w:w="2351"/>
          </w:tcPr>
          <w:p>
            <w:r/>
            <w:r>
              <w:rPr>
                <w:rFonts w:ascii="Calibri" w:hAnsi="Calibri"/>
                <w:b w:val="0"/>
                <w:sz w:val="20"/>
              </w:rPr>
            </w:r>
          </w:p>
        </w:tc>
        <w:tc>
          <w:tcPr>
            <w:tcW w:type="dxa" w:w="2351"/>
          </w:tcPr>
          <w:p>
            <w:r/>
            <w:r>
              <w:rPr>
                <w:rFonts w:ascii="Calibri" w:hAnsi="Calibri"/>
                <w:b w:val="0"/>
                <w:sz w:val="20"/>
              </w:rPr>
            </w:r>
          </w:p>
        </w:tc>
        <w:tc>
          <w:tcPr>
            <w:tcW w:type="dxa" w:w="2351"/>
          </w:tcPr>
          <w:p>
            <w:r/>
            <w:r>
              <w:rPr>
                <w:rFonts w:ascii="Calibri" w:hAnsi="Calibri"/>
                <w:b w:val="0"/>
                <w:sz w:val="20"/>
              </w:rPr>
            </w:r>
          </w:p>
        </w:tc>
      </w:tr>
      <w:tr>
        <w:trPr>
          <w:trHeight w:val="720" w:hRule="atLeast"/>
        </w:trPr>
        <w:tc>
          <w:tcPr>
            <w:tcW w:type="dxa" w:w="2351"/>
            <w:shd w:fill="F1F5F9" w:val="clear"/>
          </w:tcPr>
          <w:p>
            <w:r/>
            <w:r>
              <w:rPr>
                <w:rFonts w:ascii="Calibri" w:hAnsi="Calibri"/>
                <w:b/>
                <w:sz w:val="20"/>
              </w:rPr>
              <w:t>Engineering Lead</w:t>
            </w:r>
          </w:p>
        </w:tc>
        <w:tc>
          <w:tcPr>
            <w:tcW w:type="dxa" w:w="2351"/>
          </w:tcPr>
          <w:p>
            <w:r/>
            <w:r>
              <w:rPr>
                <w:rFonts w:ascii="Calibri" w:hAnsi="Calibri"/>
                <w:b w:val="0"/>
                <w:sz w:val="20"/>
              </w:rPr>
            </w:r>
          </w:p>
        </w:tc>
        <w:tc>
          <w:tcPr>
            <w:tcW w:type="dxa" w:w="2351"/>
          </w:tcPr>
          <w:p>
            <w:r/>
            <w:r>
              <w:rPr>
                <w:rFonts w:ascii="Calibri" w:hAnsi="Calibri"/>
                <w:b w:val="0"/>
                <w:sz w:val="20"/>
              </w:rPr>
            </w:r>
          </w:p>
        </w:tc>
        <w:tc>
          <w:tcPr>
            <w:tcW w:type="dxa" w:w="2351"/>
          </w:tcPr>
          <w:p>
            <w:r/>
            <w:r>
              <w:rPr>
                <w:rFonts w:ascii="Calibri" w:hAnsi="Calibri"/>
                <w:b w:val="0"/>
                <w:sz w:val="20"/>
              </w:rPr>
            </w:r>
          </w:p>
        </w:tc>
      </w:tr>
      <w:tr>
        <w:trPr>
          <w:trHeight w:val="720" w:hRule="atLeast"/>
        </w:trPr>
        <w:tc>
          <w:tcPr>
            <w:tcW w:type="dxa" w:w="2351"/>
            <w:shd w:fill="F1F5F9" w:val="clear"/>
          </w:tcPr>
          <w:p>
            <w:r/>
            <w:r>
              <w:rPr>
                <w:rFonts w:ascii="Calibri" w:hAnsi="Calibri"/>
                <w:b/>
                <w:sz w:val="20"/>
              </w:rPr>
              <w:t>CTO</w:t>
            </w:r>
          </w:p>
        </w:tc>
        <w:tc>
          <w:tcPr>
            <w:tcW w:type="dxa" w:w="2351"/>
          </w:tcPr>
          <w:p>
            <w:r/>
            <w:r>
              <w:rPr>
                <w:rFonts w:ascii="Calibri" w:hAnsi="Calibri"/>
                <w:b w:val="0"/>
                <w:sz w:val="20"/>
              </w:rPr>
            </w:r>
          </w:p>
        </w:tc>
        <w:tc>
          <w:tcPr>
            <w:tcW w:type="dxa" w:w="2351"/>
          </w:tcPr>
          <w:p>
            <w:r/>
            <w:r>
              <w:rPr>
                <w:rFonts w:ascii="Calibri" w:hAnsi="Calibri"/>
                <w:b w:val="0"/>
                <w:sz w:val="20"/>
              </w:rPr>
            </w:r>
          </w:p>
        </w:tc>
        <w:tc>
          <w:tcPr>
            <w:tcW w:type="dxa" w:w="2351"/>
          </w:tcPr>
          <w:p>
            <w:r/>
            <w:r>
              <w:rPr>
                <w:rFonts w:ascii="Calibri" w:hAnsi="Calibri"/>
                <w:b w:val="0"/>
                <w:sz w:val="20"/>
              </w:rPr>
            </w:r>
          </w:p>
        </w:tc>
      </w:tr>
    </w:tbl>
    <w:p/>
    <w:p/>
    <w:p>
      <w:pPr>
        <w:jc w:val="center"/>
      </w:pPr>
      <w:r>
        <w:rPr>
          <w:b/>
          <w:color w:val="94A3B8"/>
          <w:sz w:val="20"/>
        </w:rPr>
        <w:t>END OF DOCUMENT</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Xcapit Privacy Platform - Findings Closure Certificate v2.0 -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293B"/>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