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1F4E79"/>
          <w:sz w:val="56"/>
          <w:szCs w:val="56"/>
        </w:rPr>
        <w:t xml:space="preserve">HEALTHCARE REVENUE CYCLE</w:t>
      </w:r>
    </w:p>
    <w:p>
      <w:pPr>
        <w:spacing w:after="200" w:before="0"/>
        <w:jc w:val="center"/>
      </w:pPr>
      <w:r>
        <w:rPr>
          <w:rFonts w:ascii="Arial" w:cs="Arial" w:eastAsia="Arial" w:hAnsi="Arial"/>
          <w:b/>
          <w:bCs/>
          <w:color w:val="2E75B6"/>
          <w:sz w:val="56"/>
          <w:szCs w:val="56"/>
        </w:rPr>
        <w:t xml:space="preserve">ANALYTICS</w:t>
      </w:r>
    </w:p>
    <w:p>
      <w:pPr>
        <w:spacing w:after="400" w:before="0"/>
        <w:jc w:val="center"/>
      </w:pPr>
      <w:r>
        <w:rPr>
          <w:rFonts w:ascii="Arial" w:cs="Arial" w:eastAsia="Arial" w:hAnsi="Arial"/>
          <w:color w:val="404040"/>
          <w:sz w:val="32"/>
          <w:szCs w:val="32"/>
        </w:rPr>
        <w:t xml:space="preserve">Documentation Complète du Projet Power BI</w:t>
      </w:r>
    </w:p>
    <w:p>
      <w:pPr>
        <w:pBdr>
          <w:bottom w:val="single" w:color="2E75B6" w:sz="12"/>
        </w:pBdr>
        <w:spacing w:after="400" w:before="0"/>
      </w:pP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Domaine</w:t>
            </w:r>
          </w:p>
        </w:tc>
        <w:tc>
          <w:tcPr>
            <w:tcW w:type="dxa" w:w="70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2"/>
                <w:szCs w:val="22"/>
              </w:rPr>
              <w:t xml:space="preserve">Revenue Cycle Management (RCM) — Santé</w:t>
            </w:r>
          </w:p>
        </w:tc>
      </w:tr>
      <w:tr>
        <w:tc>
          <w:tcPr>
            <w:tcW w:type="dxa" w:w="2340"/>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Dataset</w:t>
            </w:r>
          </w:p>
        </w:tc>
        <w:tc>
          <w:tcPr>
            <w:tcW w:type="dxa" w:w="70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2"/>
                <w:szCs w:val="22"/>
              </w:rPr>
              <w:t xml:space="preserve">84 219 transactions · 10 tables · Schéma en étoile</w:t>
            </w:r>
          </w:p>
        </w:tc>
      </w:tr>
      <w:tr>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Outil</w:t>
            </w:r>
          </w:p>
        </w:tc>
        <w:tc>
          <w:tcPr>
            <w:tcW w:type="dxa" w:w="70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2"/>
                <w:szCs w:val="22"/>
              </w:rPr>
              <w:t xml:space="preserve">Microsoft Power BI Desktop · Power Query · DAX</w:t>
            </w:r>
          </w:p>
        </w:tc>
      </w:tr>
      <w:tr>
        <w:tc>
          <w:tcPr>
            <w:tcW w:type="dxa" w:w="2340"/>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Étapes</w:t>
            </w:r>
          </w:p>
        </w:tc>
        <w:tc>
          <w:tcPr>
            <w:tcW w:type="dxa" w:w="70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2"/>
                <w:szCs w:val="22"/>
              </w:rPr>
              <w:t xml:space="preserve">10 étapes · 19 mesures DAX · 3 rôles RLS · 4 cohortes patients</w:t>
            </w:r>
          </w:p>
        </w:tc>
      </w:tr>
      <w:tr>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Niveau</w:t>
            </w:r>
          </w:p>
        </w:tc>
        <w:tc>
          <w:tcPr>
            <w:tcW w:type="dxa" w:w="70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2"/>
                <w:szCs w:val="22"/>
              </w:rPr>
              <w:t xml:space="preserve">Analyste → Senior BI / Niveau Production</w:t>
            </w:r>
          </w:p>
        </w:tc>
      </w:tr>
    </w:tbl>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color w:val="595959"/>
          <w:sz w:val="22"/>
          <w:szCs w:val="22"/>
        </w:rPr>
        <w:t xml:space="preserve">Guide de référence · Valorisation de portfolio · Amélioration continue</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ÉTAPE 1 — Contexte Métier et Domaine</w:t>
      </w:r>
    </w:p>
    <w:p>
      <w:pPr>
        <w:spacing w:after="80" w:before="80"/>
        <w:jc w:val="left"/>
      </w:pPr>
      <w:r>
        <w:rPr>
          <w:rFonts w:ascii="Arial" w:cs="Arial" w:eastAsia="Arial" w:hAnsi="Arial"/>
          <w:color w:val="404040"/>
          <w:sz w:val="22"/>
          <w:szCs w:val="22"/>
        </w:rPr>
        <w:t xml:space="preserve">Le Revenue Cycle Management (RCM) est le processus financier que les établissements de santé utilisent pour gérer les recettes administratives et cliniques générées par les soins prodigués aux patients. C'est l'un des domaines analytiques les plus complexes car chaque transaction implique trois acteurs distincts.</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1.1 Les trois acteurs du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Acteur</w:t>
            </w:r>
          </w:p>
        </w:tc>
        <w:tc>
          <w:tcPr>
            <w:tcW w:type="dxa" w:w="4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Rôle</w:t>
            </w:r>
          </w:p>
        </w:tc>
        <w:tc>
          <w:tcPr>
            <w:tcW w:type="dxa" w:w="33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Impact analytique</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Patient</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Reçoit les soins · Peut co-payer une partie</w:t>
            </w:r>
          </w:p>
        </w:tc>
        <w:tc>
          <w:tcPr>
            <w:tcW w:type="dxa" w:w="3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Segmentation démographique · Cohortes</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Prestataire</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Médecin ou établissement · Facture les actes</w:t>
            </w:r>
          </w:p>
        </w:tc>
        <w:tc>
          <w:tcPr>
            <w:tcW w:type="dxa" w:w="3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Performance par médecin · Productivité FTE</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Payeur (Payer)</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Assureur · Rembourse selon contrat · Peut rejeter</w:t>
            </w:r>
          </w:p>
        </w:tc>
        <w:tc>
          <w:tcPr>
            <w:tcW w:type="dxa" w:w="3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Taux de recouvrement · Denial Rate · Négociation</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1.2 Le cycle de facturation — Logique métier fondamentale</w:t>
      </w:r>
    </w:p>
    <w:p>
      <w:pPr>
        <w:spacing w:after="80" w:before="80"/>
        <w:jc w:val="left"/>
      </w:pPr>
      <w:r>
        <w:rPr>
          <w:rFonts w:ascii="Arial" w:cs="Arial" w:eastAsia="Arial" w:hAnsi="Arial"/>
          <w:color w:val="404040"/>
          <w:sz w:val="22"/>
          <w:szCs w:val="22"/>
        </w:rPr>
        <w:t xml:space="preserve">Chaque acte médical génère une séquence d'événements financiers que la FactTable capture ligne par ligne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Étape</w:t>
            </w:r>
          </w:p>
        </w:tc>
        <w:tc>
          <w:tcPr>
            <w:tcW w:type="dxa" w:w="2200"/>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Type de transaction</w:t>
            </w:r>
          </w:p>
        </w:tc>
        <w:tc>
          <w:tcPr>
            <w:tcW w:type="dxa" w:w="5360"/>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Description</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1</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Charge</w:t>
            </w:r>
          </w:p>
        </w:tc>
        <w:tc>
          <w:tcPr>
            <w:tcW w:type="dxa" w:w="5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L'établissement émet une facture (GrossCharge). C'est la valeur brute de l'acte.</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2a</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Payment</w:t>
            </w:r>
          </w:p>
        </w:tc>
        <w:tc>
          <w:tcPr>
            <w:tcW w:type="dxa" w:w="5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L'assureur règle tout ou partie. Stocké en valeur négative dans le dataset.</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2b</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Adjustment</w:t>
            </w:r>
          </w:p>
        </w:tc>
        <w:tc>
          <w:tcPr>
            <w:tcW w:type="dxa" w:w="5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Réduction contractuelle appliquée. Stockée en valeur négative.</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2c</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Denial</w:t>
            </w:r>
          </w:p>
        </w:tc>
        <w:tc>
          <w:tcPr>
            <w:tcW w:type="dxa" w:w="5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Rejet sans paiement. Aucune valeur financière — valeur opérationnelle uniquement.</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3</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AR (solde)</w:t>
            </w:r>
          </w:p>
        </w:tc>
        <w:tc>
          <w:tcPr>
            <w:tcW w:type="dxa" w:w="5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AR = GrossCharge + Payment + Adjustment. Solde restant à recouvrer.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5B6" w:sz="8"/>
              <w:left w:val="single" w:color="2E75B6" w:sz="12"/>
              <w:bottom w:val="single" w:color="2E75B6" w:sz="8"/>
              <w:right w:val="none" w:color="FFFFFF" w:sz="0"/>
            </w:tcBorders>
            <w:shd w:fill="DDEEFF" w:val="clear"/>
            <w:tcMar>
              <w:top w:type="dxa" w:w="80"/>
              <w:left w:type="dxa" w:w="120"/>
              <w:bottom w:type="dxa" w:w="80"/>
              <w:right w:type="dxa" w:w="80"/>
            </w:tcMar>
            <w:vAlign w:val="top"/>
          </w:tcPr>
          <w:p>
            <w:pPr>
              <w:spacing w:after="80" w:before="80"/>
              <w:jc w:val="center"/>
            </w:pPr>
            <w:r>
              <w:rPr>
                <w:rFonts w:ascii="Arial" w:cs="Arial" w:eastAsia="Arial" w:hAnsi="Arial"/>
                <w:b/>
                <w:bCs/>
                <w:color w:val="2E75B6"/>
                <w:sz w:val="26"/>
                <w:szCs w:val="26"/>
              </w:rPr>
              <w:t xml:space="preserve">i</w:t>
            </w:r>
          </w:p>
        </w:tc>
        <w:tc>
          <w:tcPr>
            <w:tcW w:type="dxa" w:w="8960"/>
            <w:tcBorders>
              <w:top w:val="single" w:color="2E75B6" w:sz="8"/>
              <w:left w:val="none" w:color="FFFFFF" w:sz="0"/>
              <w:bottom w:val="single" w:color="2E75B6" w:sz="8"/>
              <w:right w:val="single" w:color="2E75B6" w:sz="8"/>
            </w:tcBorders>
            <w:shd w:fill="DDEEFF" w:val="clear"/>
            <w:tcMar>
              <w:top w:type="dxa" w:w="80"/>
              <w:left w:type="dxa" w:w="120"/>
              <w:bottom w:type="dxa" w:w="80"/>
              <w:right w:type="dxa" w:w="120"/>
            </w:tcMar>
          </w:tcPr>
          <w:p>
            <w:pPr>
              <w:spacing w:after="40" w:before="40"/>
            </w:pPr>
            <w:r>
              <w:rPr>
                <w:rFonts w:ascii="Arial" w:cs="Arial" w:eastAsia="Arial" w:hAnsi="Arial"/>
                <w:b/>
                <w:bCs/>
                <w:color w:val="2E75B6"/>
                <w:sz w:val="22"/>
                <w:szCs w:val="22"/>
              </w:rPr>
              <w:t xml:space="preserve">Équation fondamentale</w:t>
            </w:r>
          </w:p>
          <w:p>
            <w:pPr>
              <w:spacing w:after="40" w:before="40"/>
            </w:pPr>
            <w:r>
              <w:rPr>
                <w:rFonts w:ascii="Arial" w:cs="Arial" w:eastAsia="Arial" w:hAnsi="Arial"/>
                <w:color w:val="404040"/>
                <w:sz w:val="20"/>
                <w:szCs w:val="20"/>
              </w:rPr>
              <w:t xml:space="preserve">AR = GrossCharge + Payment + Adjustment. Avec Payment et Adjustment stockés en négatif, si GrossCharge = 1000, Adjustment = -300, Payment = -500 alors AR = 200. Cette convention comptable est critique pour écrire des mesures DAX correctes.</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1.3 KPIs essentiels du RCM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c>
          <w:tcPr>
            <w:tcW w:type="dxa" w:w="2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KPI</w:t>
            </w:r>
          </w:p>
        </w:tc>
        <w:tc>
          <w:tcPr>
            <w:tcW w:type="dxa" w:w="3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Formule logique</w:t>
            </w:r>
          </w:p>
        </w:tc>
        <w:tc>
          <w:tcPr>
            <w:tcW w:type="dxa" w:w="18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Valeur dataset</w:t>
            </w:r>
          </w:p>
        </w:tc>
        <w:tc>
          <w:tcPr>
            <w:tcW w:type="dxa" w:w="23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Benchmark sectoriel</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Gross Charge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SUM(GrossCharge) sur lignes Charge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$1.47M</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Total Payment</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ABS(SUM(Payment)) sur lignes Payment</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$703K</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AR Outstanding</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SUM(AR) — précalculé dans la FactTable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$51.9K</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&lt; 5% du brut</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Net Collection Rate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Payment / (GrossCharge - Adjustment)</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93.2%</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&gt; 95%</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Denial Rate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Denials / Charges (en nombre de lignes)</w:t>
            </w:r>
          </w:p>
        </w:tc>
        <w:tc>
          <w:tcPr>
            <w:tcW w:type="dxa" w:w="180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21.06% ⚠️</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&lt; 5%</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Adjustment Rate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ABS(Adjustment) / GrossCharge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56.24%</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w:t>
            </w:r>
          </w:p>
        </w:tc>
      </w:tr>
    </w:tbl>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ÉTAPE 2 — Structure et Qualité des Données</w:t>
      </w:r>
    </w:p>
    <w:p>
      <w:pPr>
        <w:pStyle w:val="Heading2"/>
        <w:pBdr>
          <w:bottom w:val="single" w:color="2E75B6" w:sz="6"/>
        </w:pBdr>
        <w:spacing w:after="160" w:before="320"/>
      </w:pPr>
      <w:r>
        <w:rPr>
          <w:rFonts w:ascii="Arial" w:cs="Arial" w:eastAsia="Arial" w:hAnsi="Arial"/>
          <w:b/>
          <w:bCs/>
          <w:color w:val="2E75B6"/>
          <w:sz w:val="28"/>
          <w:szCs w:val="28"/>
        </w:rPr>
        <w:t xml:space="preserve">2.1 Vue d'ensemble des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200"/>
        <w:gridCol w:w="2760"/>
      </w:tblGrid>
      <w:tr>
        <w:tc>
          <w:tcPr>
            <w:tcW w:type="dxa" w:w="2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Table</w:t>
            </w:r>
          </w:p>
        </w:tc>
        <w:tc>
          <w:tcPr>
            <w:tcW w:type="dxa" w:w="1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Lignes</w:t>
            </w:r>
          </w:p>
        </w:tc>
        <w:tc>
          <w:tcPr>
            <w:tcW w:type="dxa" w:w="3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Colonnes clés</w:t>
            </w:r>
          </w:p>
        </w:tc>
        <w:tc>
          <w:tcPr>
            <w:tcW w:type="dxa" w:w="27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Rôle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FactTable</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84 219</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GrossCharge, Payment, Adjustment, AR, CPTUnits</w:t>
            </w:r>
          </w:p>
        </w:tc>
        <w:tc>
          <w:tcPr>
            <w:tcW w:type="dxa" w:w="2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Table centrale — tous les événements financiers</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DimPatient</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5 117</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PatientGender, PatientAge, City, State</w:t>
            </w:r>
          </w:p>
        </w:tc>
        <w:tc>
          <w:tcPr>
            <w:tcW w:type="dxa" w:w="2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Dimension démographique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DimPhysician</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932</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ProviderNpi, ProviderSpecialty, ProviderFTE</w:t>
            </w:r>
          </w:p>
        </w:tc>
        <w:tc>
          <w:tcPr>
            <w:tcW w:type="dxa" w:w="2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36 spécialités médicales</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DimDate</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224</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Date, Year, Month, MonthPeriod, DayName</w:t>
            </w:r>
          </w:p>
        </w:tc>
        <w:tc>
          <w:tcPr>
            <w:tcW w:type="dxa" w:w="2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Dimension temporelle — déc 2019 à jul 2020</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DimPayer</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4</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PayerName</w:t>
            </w:r>
          </w:p>
        </w:tc>
        <w:tc>
          <w:tcPr>
            <w:tcW w:type="dxa" w:w="2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Commercial, Medicare, Medicaid, Other</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DimLocation</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11</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LocationName</w:t>
            </w:r>
          </w:p>
        </w:tc>
        <w:tc>
          <w:tcPr>
            <w:tcW w:type="dxa" w:w="2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11 sites (cliniques + hôpitaux)</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DimTransaction</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955</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TransactionType, Transaction, AdjustmentReason</w:t>
            </w:r>
          </w:p>
        </w:tc>
        <w:tc>
          <w:tcPr>
            <w:tcW w:type="dxa" w:w="2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Types : Charge, Payment, Adjustment, Denial...</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DimCPTCode</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1 256</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CptCode, CptDesc, CptGrouping</w:t>
            </w:r>
          </w:p>
        </w:tc>
        <w:tc>
          <w:tcPr>
            <w:tcW w:type="dxa" w:w="2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Codes actes médicaux AMA (10 groupes)</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DimDiagnosisCode</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4 801</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DiagnosisCode (ICD), DiagnosisCodeGroup</w:t>
            </w:r>
          </w:p>
        </w:tc>
        <w:tc>
          <w:tcPr>
            <w:tcW w:type="dxa" w:w="2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Codes ICD — 661 doublons détectés</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2.2 Anomalies détectées — Audit qualité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24B4A" w:sz="8"/>
              <w:left w:val="single" w:color="E24B4A" w:sz="12"/>
              <w:bottom w:val="single" w:color="E24B4A" w:sz="8"/>
              <w:right w:val="none" w:color="FFFFFF" w:sz="0"/>
            </w:tcBorders>
            <w:shd w:fill="FFEBEE" w:val="clear"/>
            <w:tcMar>
              <w:top w:type="dxa" w:w="80"/>
              <w:left w:type="dxa" w:w="120"/>
              <w:bottom w:type="dxa" w:w="80"/>
              <w:right w:type="dxa" w:w="80"/>
            </w:tcMar>
            <w:vAlign w:val="top"/>
          </w:tcPr>
          <w:p>
            <w:pPr>
              <w:spacing w:after="80" w:before="80"/>
              <w:jc w:val="center"/>
            </w:pPr>
            <w:r>
              <w:rPr>
                <w:rFonts w:ascii="Arial" w:cs="Arial" w:eastAsia="Arial" w:hAnsi="Arial"/>
                <w:b/>
                <w:bCs/>
                <w:color w:val="E24B4A"/>
                <w:sz w:val="26"/>
                <w:szCs w:val="26"/>
              </w:rPr>
              <w:t xml:space="preserve">!</w:t>
            </w:r>
          </w:p>
        </w:tc>
        <w:tc>
          <w:tcPr>
            <w:tcW w:type="dxa" w:w="8960"/>
            <w:tcBorders>
              <w:top w:val="single" w:color="E24B4A" w:sz="8"/>
              <w:left w:val="none" w:color="FFFFFF" w:sz="0"/>
              <w:bottom w:val="single" w:color="E24B4A" w:sz="8"/>
              <w:right w:val="single" w:color="E24B4A" w:sz="8"/>
            </w:tcBorders>
            <w:shd w:fill="FFEBEE" w:val="clear"/>
            <w:tcMar>
              <w:top w:type="dxa" w:w="80"/>
              <w:left w:type="dxa" w:w="120"/>
              <w:bottom w:type="dxa" w:w="80"/>
              <w:right w:type="dxa" w:w="120"/>
            </w:tcMar>
          </w:tcPr>
          <w:p>
            <w:pPr>
              <w:spacing w:after="40" w:before="40"/>
            </w:pPr>
            <w:r>
              <w:rPr>
                <w:rFonts w:ascii="Arial" w:cs="Arial" w:eastAsia="Arial" w:hAnsi="Arial"/>
                <w:b/>
                <w:bCs/>
                <w:color w:val="E24B4A"/>
                <w:sz w:val="22"/>
                <w:szCs w:val="22"/>
              </w:rPr>
              <w:t xml:space="preserve">Anomalie Critique 1 — dimDateServicePK</w:t>
            </w:r>
          </w:p>
          <w:p>
            <w:pPr>
              <w:spacing w:after="40" w:before="40"/>
            </w:pPr>
            <w:r>
              <w:rPr>
                <w:rFonts w:ascii="Arial" w:cs="Arial" w:eastAsia="Arial" w:hAnsi="Arial"/>
                <w:color w:val="404040"/>
                <w:sz w:val="20"/>
                <w:szCs w:val="20"/>
              </w:rPr>
              <w:t xml:space="preserve">Contient une seule valeur (20191215) sur 84 219 lignes. Toute analyse temporelle sur la date de soin est impossible. À documenter comme limite du dataset source. Architecture modèle prête pour quand le système source fournira de vraies dates.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24B4A" w:sz="8"/>
              <w:left w:val="single" w:color="E24B4A" w:sz="12"/>
              <w:bottom w:val="single" w:color="E24B4A" w:sz="8"/>
              <w:right w:val="none" w:color="FFFFFF" w:sz="0"/>
            </w:tcBorders>
            <w:shd w:fill="FFEBEE" w:val="clear"/>
            <w:tcMar>
              <w:top w:type="dxa" w:w="80"/>
              <w:left w:type="dxa" w:w="120"/>
              <w:bottom w:type="dxa" w:w="80"/>
              <w:right w:type="dxa" w:w="80"/>
            </w:tcMar>
            <w:vAlign w:val="top"/>
          </w:tcPr>
          <w:p>
            <w:pPr>
              <w:spacing w:after="80" w:before="80"/>
              <w:jc w:val="center"/>
            </w:pPr>
            <w:r>
              <w:rPr>
                <w:rFonts w:ascii="Arial" w:cs="Arial" w:eastAsia="Arial" w:hAnsi="Arial"/>
                <w:b/>
                <w:bCs/>
                <w:color w:val="E24B4A"/>
                <w:sz w:val="26"/>
                <w:szCs w:val="26"/>
              </w:rPr>
              <w:t xml:space="preserve">!</w:t>
            </w:r>
          </w:p>
        </w:tc>
        <w:tc>
          <w:tcPr>
            <w:tcW w:type="dxa" w:w="8960"/>
            <w:tcBorders>
              <w:top w:val="single" w:color="E24B4A" w:sz="8"/>
              <w:left w:val="none" w:color="FFFFFF" w:sz="0"/>
              <w:bottom w:val="single" w:color="E24B4A" w:sz="8"/>
              <w:right w:val="single" w:color="E24B4A" w:sz="8"/>
            </w:tcBorders>
            <w:shd w:fill="FFEBEE" w:val="clear"/>
            <w:tcMar>
              <w:top w:type="dxa" w:w="80"/>
              <w:left w:type="dxa" w:w="120"/>
              <w:bottom w:type="dxa" w:w="80"/>
              <w:right w:type="dxa" w:w="120"/>
            </w:tcMar>
          </w:tcPr>
          <w:p>
            <w:pPr>
              <w:spacing w:after="40" w:before="40"/>
            </w:pPr>
            <w:r>
              <w:rPr>
                <w:rFonts w:ascii="Arial" w:cs="Arial" w:eastAsia="Arial" w:hAnsi="Arial"/>
                <w:b/>
                <w:bCs/>
                <w:color w:val="E24B4A"/>
                <w:sz w:val="22"/>
                <w:szCs w:val="22"/>
              </w:rPr>
              <w:t xml:space="preserve">Anomalie Critique 2 — DimDiagnosisCode doublons</w:t>
            </w:r>
          </w:p>
          <w:p>
            <w:pPr>
              <w:spacing w:after="40" w:before="40"/>
            </w:pPr>
            <w:r>
              <w:rPr>
                <w:rFonts w:ascii="Arial" w:cs="Arial" w:eastAsia="Arial" w:hAnsi="Arial"/>
                <w:color w:val="404040"/>
                <w:sz w:val="20"/>
                <w:szCs w:val="20"/>
              </w:rPr>
              <w:t xml:space="preserve">3 538 codes DiagnosisCode en doublon (même code ICD, descriptions identiques, PKs différents). 90.6% des lignes FactTable sont potentiellement impactées ($1.29M de charges). Solution : dédupliquer sur DiagnosisCode dans Power Query.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65100" w:sz="8"/>
              <w:left w:val="single" w:color="E65100" w:sz="12"/>
              <w:bottom w:val="single" w:color="E65100" w:sz="8"/>
              <w:right w:val="none" w:color="FFFFFF" w:sz="0"/>
            </w:tcBorders>
            <w:shd w:fill="FFF8E1" w:val="clear"/>
            <w:tcMar>
              <w:top w:type="dxa" w:w="80"/>
              <w:left w:type="dxa" w:w="120"/>
              <w:bottom w:type="dxa" w:w="80"/>
              <w:right w:type="dxa" w:w="80"/>
            </w:tcMar>
            <w:vAlign w:val="top"/>
          </w:tcPr>
          <w:p>
            <w:pPr>
              <w:spacing w:after="80" w:before="80"/>
              <w:jc w:val="center"/>
            </w:pPr>
            <w:r>
              <w:rPr>
                <w:rFonts w:ascii="Arial" w:cs="Arial" w:eastAsia="Arial" w:hAnsi="Arial"/>
                <w:b/>
                <w:bCs/>
                <w:color w:val="E65100"/>
                <w:sz w:val="26"/>
                <w:szCs w:val="26"/>
              </w:rPr>
              <w:t xml:space="preserve">!</w:t>
            </w:r>
          </w:p>
        </w:tc>
        <w:tc>
          <w:tcPr>
            <w:tcW w:type="dxa" w:w="8960"/>
            <w:tcBorders>
              <w:top w:val="single" w:color="E65100" w:sz="8"/>
              <w:left w:val="none" w:color="FFFFFF" w:sz="0"/>
              <w:bottom w:val="single" w:color="E65100" w:sz="8"/>
              <w:right w:val="single" w:color="E65100" w:sz="8"/>
            </w:tcBorders>
            <w:shd w:fill="FFF8E1" w:val="clear"/>
            <w:tcMar>
              <w:top w:type="dxa" w:w="80"/>
              <w:left w:type="dxa" w:w="120"/>
              <w:bottom w:type="dxa" w:w="80"/>
              <w:right w:type="dxa" w:w="120"/>
            </w:tcMar>
          </w:tcPr>
          <w:p>
            <w:pPr>
              <w:spacing w:after="40" w:before="40"/>
            </w:pPr>
            <w:r>
              <w:rPr>
                <w:rFonts w:ascii="Arial" w:cs="Arial" w:eastAsia="Arial" w:hAnsi="Arial"/>
                <w:b/>
                <w:bCs/>
                <w:color w:val="E65100"/>
                <w:sz w:val="22"/>
                <w:szCs w:val="22"/>
              </w:rPr>
              <w:t xml:space="preserve">Anomalie Modérée 3 — DimPhysician NPI dupliqué</w:t>
            </w:r>
          </w:p>
          <w:p>
            <w:pPr>
              <w:spacing w:after="40" w:before="40"/>
            </w:pPr>
            <w:r>
              <w:rPr>
                <w:rFonts w:ascii="Arial" w:cs="Arial" w:eastAsia="Arial" w:hAnsi="Arial"/>
                <w:color w:val="404040"/>
                <w:sz w:val="20"/>
                <w:szCs w:val="20"/>
              </w:rPr>
              <w:t xml:space="preserve">Le médecin Velez a deux dimPhysicianPK différents pour le même ProviderNpi (187710528). Les performances de ce médecin sont artificiellement splitées. Le NPI est l'identifiant national unique d'un praticien aux USA — un doublon est impossible dans la réalité.</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65100" w:sz="8"/>
              <w:left w:val="single" w:color="E65100" w:sz="12"/>
              <w:bottom w:val="single" w:color="E65100" w:sz="8"/>
              <w:right w:val="none" w:color="FFFFFF" w:sz="0"/>
            </w:tcBorders>
            <w:shd w:fill="FFF8E1" w:val="clear"/>
            <w:tcMar>
              <w:top w:type="dxa" w:w="80"/>
              <w:left w:type="dxa" w:w="120"/>
              <w:bottom w:type="dxa" w:w="80"/>
              <w:right w:type="dxa" w:w="80"/>
            </w:tcMar>
            <w:vAlign w:val="top"/>
          </w:tcPr>
          <w:p>
            <w:pPr>
              <w:spacing w:after="80" w:before="80"/>
              <w:jc w:val="center"/>
            </w:pPr>
            <w:r>
              <w:rPr>
                <w:rFonts w:ascii="Arial" w:cs="Arial" w:eastAsia="Arial" w:hAnsi="Arial"/>
                <w:b/>
                <w:bCs/>
                <w:color w:val="E65100"/>
                <w:sz w:val="26"/>
                <w:szCs w:val="26"/>
              </w:rPr>
              <w:t xml:space="preserve">!</w:t>
            </w:r>
          </w:p>
        </w:tc>
        <w:tc>
          <w:tcPr>
            <w:tcW w:type="dxa" w:w="8960"/>
            <w:tcBorders>
              <w:top w:val="single" w:color="E65100" w:sz="8"/>
              <w:left w:val="none" w:color="FFFFFF" w:sz="0"/>
              <w:bottom w:val="single" w:color="E65100" w:sz="8"/>
              <w:right w:val="single" w:color="E65100" w:sz="8"/>
            </w:tcBorders>
            <w:shd w:fill="FFF8E1" w:val="clear"/>
            <w:tcMar>
              <w:top w:type="dxa" w:w="80"/>
              <w:left w:type="dxa" w:w="120"/>
              <w:bottom w:type="dxa" w:w="80"/>
              <w:right w:type="dxa" w:w="120"/>
            </w:tcMar>
          </w:tcPr>
          <w:p>
            <w:pPr>
              <w:spacing w:after="40" w:before="40"/>
            </w:pPr>
            <w:r>
              <w:rPr>
                <w:rFonts w:ascii="Arial" w:cs="Arial" w:eastAsia="Arial" w:hAnsi="Arial"/>
                <w:b/>
                <w:bCs/>
                <w:color w:val="E65100"/>
                <w:sz w:val="22"/>
                <w:szCs w:val="22"/>
              </w:rPr>
              <w:t xml:space="preserve">Anomalie Modérée 4 — Patients âge = 0</w:t>
            </w:r>
          </w:p>
          <w:p>
            <w:pPr>
              <w:spacing w:after="40" w:before="40"/>
            </w:pPr>
            <w:r>
              <w:rPr>
                <w:rFonts w:ascii="Arial" w:cs="Arial" w:eastAsia="Arial" w:hAnsi="Arial"/>
                <w:color w:val="404040"/>
                <w:sz w:val="20"/>
                <w:szCs w:val="20"/>
              </w:rPr>
              <w:t xml:space="preserve">57 patients avec PatientAge = 0. Ce ne sont pas des nouveau-nés (ils genèrent des charges adultes). Probable valeur inconnue non renseignée. Action : créer colonne AgeGroup avec catégorie "Unknown" pour ces 57 patients.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5B6" w:sz="8"/>
              <w:left w:val="single" w:color="2E75B6" w:sz="12"/>
              <w:bottom w:val="single" w:color="2E75B6" w:sz="8"/>
              <w:right w:val="none" w:color="FFFFFF" w:sz="0"/>
            </w:tcBorders>
            <w:shd w:fill="DDEEFF" w:val="clear"/>
            <w:tcMar>
              <w:top w:type="dxa" w:w="80"/>
              <w:left w:type="dxa" w:w="120"/>
              <w:bottom w:type="dxa" w:w="80"/>
              <w:right w:type="dxa" w:w="80"/>
            </w:tcMar>
            <w:vAlign w:val="top"/>
          </w:tcPr>
          <w:p>
            <w:pPr>
              <w:spacing w:after="80" w:before="80"/>
              <w:jc w:val="center"/>
            </w:pPr>
            <w:r>
              <w:rPr>
                <w:rFonts w:ascii="Arial" w:cs="Arial" w:eastAsia="Arial" w:hAnsi="Arial"/>
                <w:b/>
                <w:bCs/>
                <w:color w:val="2E75B6"/>
                <w:sz w:val="26"/>
                <w:szCs w:val="26"/>
              </w:rPr>
              <w:t xml:space="preserve">i</w:t>
            </w:r>
          </w:p>
        </w:tc>
        <w:tc>
          <w:tcPr>
            <w:tcW w:type="dxa" w:w="8960"/>
            <w:tcBorders>
              <w:top w:val="single" w:color="2E75B6" w:sz="8"/>
              <w:left w:val="none" w:color="FFFFFF" w:sz="0"/>
              <w:bottom w:val="single" w:color="2E75B6" w:sz="8"/>
              <w:right w:val="single" w:color="2E75B6" w:sz="8"/>
            </w:tcBorders>
            <w:shd w:fill="DDEEFF" w:val="clear"/>
            <w:tcMar>
              <w:top w:type="dxa" w:w="80"/>
              <w:left w:type="dxa" w:w="120"/>
              <w:bottom w:type="dxa" w:w="80"/>
              <w:right w:type="dxa" w:w="120"/>
            </w:tcMar>
          </w:tcPr>
          <w:p>
            <w:pPr>
              <w:spacing w:after="40" w:before="40"/>
            </w:pPr>
            <w:r>
              <w:rPr>
                <w:rFonts w:ascii="Arial" w:cs="Arial" w:eastAsia="Arial" w:hAnsi="Arial"/>
                <w:b/>
                <w:bCs/>
                <w:color w:val="2E75B6"/>
                <w:sz w:val="22"/>
                <w:szCs w:val="22"/>
              </w:rPr>
              <w:t xml:space="preserve">Bonne nouvelle — Intégrité référentielle</w:t>
            </w:r>
          </w:p>
          <w:p>
            <w:pPr>
              <w:spacing w:after="40" w:before="40"/>
            </w:pPr>
            <w:r>
              <w:rPr>
                <w:rFonts w:ascii="Arial" w:cs="Arial" w:eastAsia="Arial" w:hAnsi="Arial"/>
                <w:color w:val="404040"/>
                <w:sz w:val="20"/>
                <w:szCs w:val="20"/>
              </w:rPr>
              <w:t xml:space="preserve">Aucune valeur nulle dans aucune table. Aucun doublon sur les clés primaires (PK) de toutes les dimensions. Aucune clé étrangère orpheline dans la FactTable. La base est saine sur ces points essentiels.</w:t>
            </w:r>
          </w:p>
        </w:tc>
      </w:tr>
    </w:tbl>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ÉTAPE 3 — Préparation des Données (Power Query)</w:t>
      </w:r>
    </w:p>
    <w:p>
      <w:pPr>
        <w:pStyle w:val="Heading2"/>
        <w:pBdr>
          <w:bottom w:val="single" w:color="2E75B6" w:sz="6"/>
        </w:pBdr>
        <w:spacing w:after="160" w:before="320"/>
      </w:pPr>
      <w:r>
        <w:rPr>
          <w:rFonts w:ascii="Arial" w:cs="Arial" w:eastAsia="Arial" w:hAnsi="Arial"/>
          <w:b/>
          <w:bCs/>
          <w:color w:val="2E75B6"/>
          <w:sz w:val="28"/>
          <w:szCs w:val="28"/>
        </w:rPr>
        <w:t xml:space="preserve">3.1 Règle fondamentale avant toute transformation</w:t>
      </w:r>
    </w:p>
    <w:p>
      <w:pPr>
        <w:spacing w:after="80" w:before="80"/>
        <w:jc w:val="left"/>
      </w:pPr>
      <w:r>
        <w:rPr>
          <w:rFonts w:ascii="Arial" w:cs="Arial" w:eastAsia="Arial" w:hAnsi="Arial"/>
          <w:color w:val="404040"/>
          <w:sz w:val="22"/>
          <w:szCs w:val="22"/>
        </w:rPr>
        <w:t xml:space="preserve">Ne transforme que ce qui impacte soit la qualité de l'analyse, soit les performances du modèle. Chaque transformation doit avoir une justification métier ou technique explicite.</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3.2 Colonnes supprimées — Justifications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Table</w:t>
            </w:r>
          </w:p>
        </w:tc>
        <w:tc>
          <w:tcPr>
            <w:tcW w:type="dxa" w:w="25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Colonne</w:t>
            </w:r>
          </w:p>
        </w:tc>
        <w:tc>
          <w:tcPr>
            <w:tcW w:type="dxa" w:w="48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Raison de suppression</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FactTable</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dimDateServicePK</w:t>
            </w:r>
          </w:p>
        </w:tc>
        <w:tc>
          <w:tcPr>
            <w:tcW w:type="dxa" w:w="486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Valeur unique (20191215) — aucune analyse temporelle possible</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FactTable</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PatientNumber</w:t>
            </w:r>
          </w:p>
        </w:tc>
        <w:tc>
          <w:tcPr>
            <w:tcW w:type="dxa" w:w="486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Redondant avec dimPatientPK qui suffit pour la jointure</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DimPatient</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Email</w:t>
            </w:r>
          </w:p>
        </w:tc>
        <w:tc>
          <w:tcPr>
            <w:tcW w:type="dxa" w:w="486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Donnée PII (Personal Identifiable Info) — aucune valeur analytique + risque HIPAA</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3.3 Transformations appliquées — Code M</w:t>
      </w:r>
    </w:p>
    <w:p>
      <w:pPr>
        <w:pStyle w:val="Heading3"/>
        <w:spacing w:after="120" w:before="240"/>
      </w:pPr>
      <w:r>
        <w:rPr>
          <w:rFonts w:ascii="Arial" w:cs="Arial" w:eastAsia="Arial" w:hAnsi="Arial"/>
          <w:b/>
          <w:bCs/>
          <w:color w:val="1F4E79"/>
          <w:sz w:val="24"/>
          <w:szCs w:val="24"/>
        </w:rPr>
        <w:t xml:space="preserve">Transformation 1 — DimDate : convertir la colonne Date en type Date</w:t>
      </w:r>
    </w:p>
    <w:p>
      <w:pPr>
        <w:spacing w:after="80" w:before="80"/>
        <w:jc w:val="left"/>
      </w:pPr>
      <w:r>
        <w:rPr>
          <w:rFonts w:ascii="Arial" w:cs="Arial" w:eastAsia="Arial" w:hAnsi="Arial"/>
          <w:color w:val="404040"/>
          <w:sz w:val="22"/>
          <w:szCs w:val="22"/>
        </w:rPr>
        <w:t xml:space="preserve">Prérequis absolu pour toutes les fonctions Time Intelligence DAX. Sans type Date natif, TOTALYTD, SAMEPERIODLASTYEAR et DATEADD ne fonctionnent pas.</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Table.TransformColumnTypes(Source, {{"Date", type date}}, "en-US")</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Transformation 2 — DimDiagnosisCode : dédupliquer sur le code métier</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Sorted = Table.Sort(Source, {{"dimDiagnosisCodePK", Order.Ascending}}),</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Deduplicated = Table.Distinct(Sorted, {"DiagnosisCode"})</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Transformation 3 — FactTable : supprimer colonnes inutiles</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Table.RemoveColumns(Source, {"dimDateServicePK", "PatientNumber"})</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Transformation 4 — FactTable : ajouter colonne IsReversal</w:t>
      </w:r>
    </w:p>
    <w:p>
      <w:pPr>
        <w:spacing w:after="80" w:before="80"/>
        <w:jc w:val="left"/>
      </w:pPr>
      <w:r>
        <w:rPr>
          <w:rFonts w:ascii="Arial" w:cs="Arial" w:eastAsia="Arial" w:hAnsi="Arial"/>
          <w:color w:val="404040"/>
          <w:sz w:val="22"/>
          <w:szCs w:val="22"/>
        </w:rPr>
        <w:t xml:space="preserve">Permet d'identifier et filtrer les annulations de facturation (GrossCharge négatif = correctif ou annulation).</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Table.AddColumn(Source, "IsReversal",</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each if [GrossCharge] &lt; 0 then "Reversal" else "Standard", type text)</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Transformation 5 — DimPatient : créer colonne AgeGroup</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Table.AddColumn(Source, "AgeGroup", each</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if [PatientAge] = 0 then "Unknown"</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else if [PatientAge] &lt; 18 then "0-17 (Pediatric)"</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else if [PatientAge] &lt; 35 then "18-34"</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else if [PatientAge] &lt; 50 then "35-49"</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else if [PatientAge] &lt; 65 then "50-64"</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else "65+ (Senior)", type text)</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Transformation 6 — DimPhysician : créer colonne FTE_Category</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Table.AddColumn(Source, "FTE_Category", each</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if [ProviderFTE] = 0 then "Inactive"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else if [ProviderFTE] &lt; 0.5 then "Part-time &lt; 50%"</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else if [ProviderFTE] &lt; 1.0 then "Part-time 50-99%"</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else "Full-time", type text)</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3.4 Règle critique sur les types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5B6" w:sz="8"/>
              <w:left w:val="single" w:color="2E75B6" w:sz="12"/>
              <w:bottom w:val="single" w:color="2E75B6" w:sz="8"/>
              <w:right w:val="none" w:color="FFFFFF" w:sz="0"/>
            </w:tcBorders>
            <w:shd w:fill="DDEEFF" w:val="clear"/>
            <w:tcMar>
              <w:top w:type="dxa" w:w="80"/>
              <w:left w:type="dxa" w:w="120"/>
              <w:bottom w:type="dxa" w:w="80"/>
              <w:right w:type="dxa" w:w="80"/>
            </w:tcMar>
            <w:vAlign w:val="top"/>
          </w:tcPr>
          <w:p>
            <w:pPr>
              <w:spacing w:after="80" w:before="80"/>
              <w:jc w:val="center"/>
            </w:pPr>
            <w:r>
              <w:rPr>
                <w:rFonts w:ascii="Arial" w:cs="Arial" w:eastAsia="Arial" w:hAnsi="Arial"/>
                <w:b/>
                <w:bCs/>
                <w:color w:val="2E75B6"/>
                <w:sz w:val="26"/>
                <w:szCs w:val="26"/>
              </w:rPr>
              <w:t xml:space="preserve">i</w:t>
            </w:r>
          </w:p>
        </w:tc>
        <w:tc>
          <w:tcPr>
            <w:tcW w:type="dxa" w:w="8960"/>
            <w:tcBorders>
              <w:top w:val="single" w:color="2E75B6" w:sz="8"/>
              <w:left w:val="none" w:color="FFFFFF" w:sz="0"/>
              <w:bottom w:val="single" w:color="2E75B6" w:sz="8"/>
              <w:right w:val="single" w:color="2E75B6" w:sz="8"/>
            </w:tcBorders>
            <w:shd w:fill="DDEEFF" w:val="clear"/>
            <w:tcMar>
              <w:top w:type="dxa" w:w="80"/>
              <w:left w:type="dxa" w:w="120"/>
              <w:bottom w:type="dxa" w:w="80"/>
              <w:right w:type="dxa" w:w="120"/>
            </w:tcMar>
          </w:tcPr>
          <w:p>
            <w:pPr>
              <w:spacing w:after="40" w:before="40"/>
            </w:pPr>
            <w:r>
              <w:rPr>
                <w:rFonts w:ascii="Arial" w:cs="Arial" w:eastAsia="Arial" w:hAnsi="Arial"/>
                <w:b/>
                <w:bCs/>
                <w:color w:val="2E75B6"/>
                <w:sz w:val="22"/>
                <w:szCs w:val="22"/>
              </w:rPr>
              <w:t xml:space="preserve">Règle professionnelle — Identifiants en Text</w:t>
            </w:r>
          </w:p>
          <w:p>
            <w:pPr>
              <w:spacing w:after="40" w:before="40"/>
            </w:pPr>
            <w:r>
              <w:rPr>
                <w:rFonts w:ascii="Arial" w:cs="Arial" w:eastAsia="Arial" w:hAnsi="Arial"/>
                <w:color w:val="404040"/>
                <w:sz w:val="20"/>
                <w:szCs w:val="20"/>
              </w:rPr>
              <w:t xml:space="preserve">Un code identifiant (CptCode, NPI, code postal, numéro de dossier) doit TOUJOURS rester en type Text, même s'il est composé uniquement de chiffres. Les 94 erreurs de conversion de CptCode en Integer révèlent deux familles de codes alphanumérique (HCPCS Level II = A0000, CPT Cat II = 0000F). Convertir en Integer détruit ces codes valides.</w:t>
            </w:r>
          </w:p>
        </w:tc>
      </w:tr>
    </w:tbl>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ÉTAPE 4 — Modélisation des Données (Schéma en Étoile)</w:t>
      </w:r>
    </w:p>
    <w:p>
      <w:pPr>
        <w:pStyle w:val="Heading2"/>
        <w:pBdr>
          <w:bottom w:val="single" w:color="2E75B6" w:sz="6"/>
        </w:pBdr>
        <w:spacing w:after="160" w:before="320"/>
      </w:pPr>
      <w:r>
        <w:rPr>
          <w:rFonts w:ascii="Arial" w:cs="Arial" w:eastAsia="Arial" w:hAnsi="Arial"/>
          <w:b/>
          <w:bCs/>
          <w:color w:val="2E75B6"/>
          <w:sz w:val="28"/>
          <w:szCs w:val="28"/>
        </w:rPr>
        <w:t xml:space="preserve">4.1 Principe du schéma en étoile</w:t>
      </w:r>
    </w:p>
    <w:p>
      <w:pPr>
        <w:spacing w:after="80" w:before="80"/>
        <w:jc w:val="left"/>
      </w:pPr>
      <w:r>
        <w:rPr>
          <w:rFonts w:ascii="Arial" w:cs="Arial" w:eastAsia="Arial" w:hAnsi="Arial"/>
          <w:color w:val="404040"/>
          <w:sz w:val="22"/>
          <w:szCs w:val="22"/>
        </w:rPr>
        <w:t xml:space="preserve">Le schéma en étoile place une table de faits centrale connectée à des dimensions via des relations 1-to-many. Une valeur PK unique dans chaque dimension peut apparaître plusieurs fois dans la FactTable. Ce modèle est optimal pour Power BI car il minimise la propagation de filtres ambigus et maximise les performances DAX.</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4.2 Table des relations — Configuration exacte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1200"/>
        <w:gridCol w:w="1960"/>
      </w:tblGrid>
      <w:tr>
        <w:tc>
          <w:tcPr>
            <w:tcW w:type="dxa" w:w="2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FK (FactTable)</w:t>
            </w:r>
          </w:p>
        </w:tc>
        <w:tc>
          <w:tcPr>
            <w:tcW w:type="dxa" w:w="2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PK (Dimension)</w:t>
            </w:r>
          </w:p>
        </w:tc>
        <w:tc>
          <w:tcPr>
            <w:tcW w:type="dxa" w:w="1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Cardinalité</w:t>
            </w:r>
          </w:p>
        </w:tc>
        <w:tc>
          <w:tcPr>
            <w:tcW w:type="dxa" w:w="1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Active ?</w:t>
            </w:r>
          </w:p>
        </w:tc>
        <w:tc>
          <w:tcPr>
            <w:tcW w:type="dxa" w:w="19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Direction filtre</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dimPatientPK</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DimPatient.dimPatientPK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1-to-many</w:t>
            </w:r>
          </w:p>
        </w:tc>
        <w:tc>
          <w:tcPr>
            <w:tcW w:type="dxa" w:w="120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Oui ✅</w:t>
            </w:r>
          </w:p>
        </w:tc>
        <w:tc>
          <w:tcPr>
            <w:tcW w:type="dxa" w:w="1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 → Fait</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dimPhysicianPK</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DimPhysician.dimPhysicianPK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1-to-many</w:t>
            </w:r>
          </w:p>
        </w:tc>
        <w:tc>
          <w:tcPr>
            <w:tcW w:type="dxa" w:w="120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Oui ✅</w:t>
            </w:r>
          </w:p>
        </w:tc>
        <w:tc>
          <w:tcPr>
            <w:tcW w:type="dxa" w:w="1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 → Fait</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dimDatePostPK</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DimDate.dimDatePostPK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1-to-many</w:t>
            </w:r>
          </w:p>
        </w:tc>
        <w:tc>
          <w:tcPr>
            <w:tcW w:type="dxa" w:w="120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Oui ✅</w:t>
            </w:r>
          </w:p>
        </w:tc>
        <w:tc>
          <w:tcPr>
            <w:tcW w:type="dxa" w:w="1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 → Fait</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dimDateServicePK</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DimDate.dimDatePostPK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1-to-many</w:t>
            </w:r>
          </w:p>
        </w:tc>
        <w:tc>
          <w:tcPr>
            <w:tcW w:type="dxa" w:w="12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NON ❌</w:t>
            </w:r>
          </w:p>
        </w:tc>
        <w:tc>
          <w:tcPr>
            <w:tcW w:type="dxa" w:w="1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Inactive — USERELATIONSHIP()</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dimCPTCodePK</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DimCPTCode.dimCPTCodePK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1-to-many</w:t>
            </w:r>
          </w:p>
        </w:tc>
        <w:tc>
          <w:tcPr>
            <w:tcW w:type="dxa" w:w="120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Oui ✅</w:t>
            </w:r>
          </w:p>
        </w:tc>
        <w:tc>
          <w:tcPr>
            <w:tcW w:type="dxa" w:w="1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 → Fait</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dimPayerPK</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DimPayer.dimPayerPK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1-to-many</w:t>
            </w:r>
          </w:p>
        </w:tc>
        <w:tc>
          <w:tcPr>
            <w:tcW w:type="dxa" w:w="120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Oui ✅</w:t>
            </w:r>
          </w:p>
        </w:tc>
        <w:tc>
          <w:tcPr>
            <w:tcW w:type="dxa" w:w="1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 → Fait</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dimTransactionPK</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DimTransaction.dimTransactionPK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1-to-many</w:t>
            </w:r>
          </w:p>
        </w:tc>
        <w:tc>
          <w:tcPr>
            <w:tcW w:type="dxa" w:w="120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Oui ✅</w:t>
            </w:r>
          </w:p>
        </w:tc>
        <w:tc>
          <w:tcPr>
            <w:tcW w:type="dxa" w:w="1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 → Fait</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dimLocationPK</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DimLocation.dimLocationPK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1-to-many</w:t>
            </w:r>
          </w:p>
        </w:tc>
        <w:tc>
          <w:tcPr>
            <w:tcW w:type="dxa" w:w="120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Oui ✅</w:t>
            </w:r>
          </w:p>
        </w:tc>
        <w:tc>
          <w:tcPr>
            <w:tcW w:type="dxa" w:w="1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 → Fait</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dimDiagnosisCodePK</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DimDiagnosisCode.dimDiagnosisCodePK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1-to-many</w:t>
            </w:r>
          </w:p>
        </w:tc>
        <w:tc>
          <w:tcPr>
            <w:tcW w:type="dxa" w:w="120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Oui ✅</w:t>
            </w:r>
          </w:p>
        </w:tc>
        <w:tc>
          <w:tcPr>
            <w:tcW w:type="dxa" w:w="1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 → Fait</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4.3 Règles de modélisation critiques</w:t>
      </w:r>
    </w:p>
    <w:p>
      <w:pPr>
        <w:pStyle w:val="ListParagraph"/>
        <w:numPr>
          <w:ilvl w:val="0"/>
          <w:numId w:val="2"/>
        </w:numPr>
        <w:spacing w:after="60" w:before="60"/>
      </w:pPr>
      <w:r>
        <w:rPr>
          <w:rFonts w:ascii="Arial" w:cs="Arial" w:eastAsia="Arial" w:hAnsi="Arial"/>
          <w:b w:val="false"/>
          <w:bCs w:val="false"/>
          <w:color w:val="404040"/>
          <w:sz w:val="22"/>
          <w:szCs w:val="22"/>
        </w:rPr>
        <w:t xml:space="preserve">Ne jamais laisser Power BI détecter automatiquement les relations — créer toutes les relations manuellement dans la vue Modèle.</w:t>
      </w:r>
    </w:p>
    <w:p>
      <w:pPr>
        <w:pStyle w:val="ListParagraph"/>
        <w:numPr>
          <w:ilvl w:val="0"/>
          <w:numId w:val="2"/>
        </w:numPr>
        <w:spacing w:after="60" w:before="60"/>
      </w:pPr>
      <w:r>
        <w:rPr>
          <w:rFonts w:ascii="Arial" w:cs="Arial" w:eastAsia="Arial" w:hAnsi="Arial"/>
          <w:b w:val="false"/>
          <w:bCs w:val="false"/>
          <w:color w:val="404040"/>
          <w:sz w:val="22"/>
          <w:szCs w:val="22"/>
        </w:rPr>
        <w:t xml:space="preserve">La direction de filtre doit toujours être Single (Dim → Fait), jamais Both, sauf besoin spécifique documenté.</w:t>
      </w:r>
    </w:p>
    <w:p>
      <w:pPr>
        <w:pStyle w:val="ListParagraph"/>
        <w:numPr>
          <w:ilvl w:val="0"/>
          <w:numId w:val="2"/>
        </w:numPr>
        <w:spacing w:after="60" w:before="60"/>
      </w:pPr>
      <w:r>
        <w:rPr>
          <w:rFonts w:ascii="Arial" w:cs="Arial" w:eastAsia="Arial" w:hAnsi="Arial"/>
          <w:b w:val="false"/>
          <w:bCs w:val="false"/>
          <w:color w:val="404040"/>
          <w:sz w:val="22"/>
          <w:szCs w:val="22"/>
        </w:rPr>
        <w:t xml:space="preserve">Une relation inactive dans le modèle est le prérequis de USERELATIONSHIP() en DAX — la fonction active, elle ne crée pas.</w:t>
      </w:r>
    </w:p>
    <w:p>
      <w:pPr>
        <w:pStyle w:val="ListParagraph"/>
        <w:numPr>
          <w:ilvl w:val="0"/>
          <w:numId w:val="2"/>
        </w:numPr>
        <w:spacing w:after="60" w:before="60"/>
      </w:pPr>
      <w:r>
        <w:rPr>
          <w:rFonts w:ascii="Arial" w:cs="Arial" w:eastAsia="Arial" w:hAnsi="Arial"/>
          <w:b w:val="false"/>
          <w:bCs w:val="false"/>
          <w:color w:val="404040"/>
          <w:sz w:val="22"/>
          <w:szCs w:val="22"/>
        </w:rPr>
        <w:t xml:space="preserve">Marquer DimDate comme "Date Table" dans Power BI (clic droit → Mark as date table) avant toute mesure Time Intelligence.</w:t>
      </w:r>
    </w:p>
    <w:p>
      <w:pPr>
        <w:pStyle w:val="ListParagraph"/>
        <w:numPr>
          <w:ilvl w:val="0"/>
          <w:numId w:val="2"/>
        </w:numPr>
        <w:spacing w:after="60" w:before="60"/>
      </w:pPr>
      <w:r>
        <w:rPr>
          <w:rFonts w:ascii="Arial" w:cs="Arial" w:eastAsia="Arial" w:hAnsi="Arial"/>
          <w:b w:val="false"/>
          <w:bCs w:val="false"/>
          <w:color w:val="404040"/>
          <w:sz w:val="22"/>
          <w:szCs w:val="22"/>
        </w:rPr>
        <w:t xml:space="preserve">La many-to-many est à éviter : elle génère des doubles comptages silencieux et des performances dégradées.</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ÉTAPE 5 — Mesures DAX</w:t>
      </w:r>
    </w:p>
    <w:p>
      <w:pPr>
        <w:pStyle w:val="Heading2"/>
        <w:pBdr>
          <w:bottom w:val="single" w:color="2E75B6" w:sz="6"/>
        </w:pBdr>
        <w:spacing w:after="160" w:before="320"/>
      </w:pPr>
      <w:r>
        <w:rPr>
          <w:rFonts w:ascii="Arial" w:cs="Arial" w:eastAsia="Arial" w:hAnsi="Arial"/>
          <w:b/>
          <w:bCs/>
          <w:color w:val="2E75B6"/>
          <w:sz w:val="28"/>
          <w:szCs w:val="28"/>
        </w:rPr>
        <w:t xml:space="preserve">5.1 Règles DAX fondamentales de ce projet</w:t>
      </w:r>
    </w:p>
    <w:p>
      <w:pPr>
        <w:pStyle w:val="ListParagraph"/>
        <w:numPr>
          <w:ilvl w:val="0"/>
          <w:numId w:val="2"/>
        </w:numPr>
        <w:spacing w:after="60" w:before="60"/>
      </w:pPr>
      <w:r>
        <w:rPr>
          <w:rFonts w:ascii="Arial" w:cs="Arial" w:eastAsia="Arial" w:hAnsi="Arial"/>
          <w:b w:val="false"/>
          <w:bCs w:val="false"/>
          <w:color w:val="404040"/>
          <w:sz w:val="22"/>
          <w:szCs w:val="22"/>
        </w:rPr>
        <w:t xml:space="preserve">Toujours filtrer sur TransactionType dans les mesures financières — chaque colonne n'est active que pour son type de transaction.</w:t>
      </w:r>
    </w:p>
    <w:p>
      <w:pPr>
        <w:pStyle w:val="ListParagraph"/>
        <w:numPr>
          <w:ilvl w:val="0"/>
          <w:numId w:val="2"/>
        </w:numPr>
        <w:spacing w:after="60" w:before="60"/>
      </w:pPr>
      <w:r>
        <w:rPr>
          <w:rFonts w:ascii="Arial" w:cs="Arial" w:eastAsia="Arial" w:hAnsi="Arial"/>
          <w:b w:val="false"/>
          <w:bCs w:val="false"/>
          <w:color w:val="404040"/>
          <w:sz w:val="22"/>
          <w:szCs w:val="22"/>
        </w:rPr>
        <w:t xml:space="preserve">Utiliser DIVIDE(num, denom, BLANK()) plutôt que l'opérateur / — évite les erreurs DIV/0 et retourne BLANK() pour les lignes sans données.</w:t>
      </w:r>
    </w:p>
    <w:p>
      <w:pPr>
        <w:pStyle w:val="ListParagraph"/>
        <w:numPr>
          <w:ilvl w:val="0"/>
          <w:numId w:val="2"/>
        </w:numPr>
        <w:spacing w:after="60" w:before="60"/>
      </w:pPr>
      <w:r>
        <w:rPr>
          <w:rFonts w:ascii="Arial" w:cs="Arial" w:eastAsia="Arial" w:hAnsi="Arial"/>
          <w:b w:val="false"/>
          <w:bCs w:val="false"/>
          <w:color w:val="404040"/>
          <w:sz w:val="22"/>
          <w:szCs w:val="22"/>
        </w:rPr>
        <w:t xml:space="preserve">BLANK() ≠ 0 en DAX : BLANK() exclut la ligne des visuels, 0 l'affiche. Choisir selon l'intention.</w:t>
      </w:r>
    </w:p>
    <w:p>
      <w:pPr>
        <w:pStyle w:val="ListParagraph"/>
        <w:numPr>
          <w:ilvl w:val="0"/>
          <w:numId w:val="2"/>
        </w:numPr>
        <w:spacing w:after="60" w:before="60"/>
      </w:pPr>
      <w:r>
        <w:rPr>
          <w:rFonts w:ascii="Arial" w:cs="Arial" w:eastAsia="Arial" w:hAnsi="Arial"/>
          <w:b w:val="false"/>
          <w:bCs w:val="false"/>
          <w:color w:val="404040"/>
          <w:sz w:val="22"/>
          <w:szCs w:val="22"/>
        </w:rPr>
        <w:t xml:space="preserve">Utiliser VAR pour les mesures complexes — améliore la lisibilité et évite les recalculs multiples.</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5.2 Niveau 1 — Mesures de base</w:t>
      </w:r>
    </w:p>
    <w:p>
      <w:pPr>
        <w:pStyle w:val="Heading3"/>
        <w:spacing w:after="120" w:before="240"/>
      </w:pPr>
      <w:r>
        <w:rPr>
          <w:rFonts w:ascii="Arial" w:cs="Arial" w:eastAsia="Arial" w:hAnsi="Arial"/>
          <w:b/>
          <w:bCs/>
          <w:color w:val="1F4E79"/>
          <w:sz w:val="24"/>
          <w:szCs w:val="24"/>
        </w:rPr>
        <w:t xml:space="preserve">Gross Charge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Gross Charge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CALCULATE(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SUM(FactTable[GrossCharge]),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DimTransaction[TransactionType] = "Charge"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w:t>
      </w:r>
    </w:p>
    <w:p>
      <w:pPr>
        <w:spacing w:after="80" w:before="80"/>
        <w:jc w:val="left"/>
      </w:pPr>
      <w:r>
        <w:rPr>
          <w:rFonts w:ascii="Arial" w:cs="Arial" w:eastAsia="Arial" w:hAnsi="Arial"/>
          <w:color w:val="404040"/>
          <w:sz w:val="22"/>
          <w:szCs w:val="22"/>
        </w:rPr>
        <w:t xml:space="preserve">Valeur cible : $1 472 266.81 — Volume total d'activité facturée.</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Total Payment</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Total Payment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CALCULATE(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ABS(SUM(FactTable[Payment])),</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DimTransaction[TransactionType] = "Payment"</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w:t>
      </w:r>
    </w:p>
    <w:p>
      <w:pPr>
        <w:spacing w:after="80" w:before="80"/>
        <w:jc w:val="left"/>
      </w:pPr>
      <w:r>
        <w:rPr>
          <w:rFonts w:ascii="Arial" w:cs="Arial" w:eastAsia="Arial" w:hAnsi="Arial"/>
          <w:color w:val="404040"/>
          <w:sz w:val="22"/>
          <w:szCs w:val="22"/>
        </w:rPr>
        <w:t xml:space="preserve">Valeur cible : $703 613.29 — ABS() car Payment est stocké en négatif dans le dataset.</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Total Adjustment</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Total Adjustment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CALCULATE(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ABS(SUM(FactTable[Adjustment])),</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DimTransaction[TransactionType] = "Adjustment"</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w:t>
      </w:r>
    </w:p>
    <w:p>
      <w:pPr>
        <w:spacing w:after="80" w:before="80"/>
        <w:jc w:val="left"/>
      </w:pPr>
      <w:r>
        <w:rPr>
          <w:rFonts w:ascii="Arial" w:cs="Arial" w:eastAsia="Arial" w:hAnsi="Arial"/>
          <w:color w:val="404040"/>
          <w:sz w:val="22"/>
          <w:szCs w:val="22"/>
        </w:rPr>
        <w:t xml:space="preserve">Valeur cible : $716 682.80</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AR Outstanding</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AR Outstanding = SUM(FactTable[AR])</w:t>
      </w:r>
    </w:p>
    <w:p>
      <w:pPr>
        <w:spacing w:after="80" w:before="80"/>
        <w:jc w:val="left"/>
      </w:pPr>
      <w:r>
        <w:rPr>
          <w:rFonts w:ascii="Arial" w:cs="Arial" w:eastAsia="Arial" w:hAnsi="Arial"/>
          <w:color w:val="404040"/>
          <w:sz w:val="22"/>
          <w:szCs w:val="22"/>
        </w:rPr>
        <w:t xml:space="preserve">Valeur cible : $51 970.72 — Utiliser directement la colonne AR précalculée ligne par ligne. Ne pas recalculer en DAX car les contextes de filtre par TransactionType ne s'annulent pas proprement.</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Patient Count</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Patient Count = DISTINCTCOUNT(FactTable[dimPatientPK])</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Charge Count</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Charge Count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CALCULATE(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COUNTROWS(FactTable),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DimTransaction[TransactionType] = "Charge"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5.3 Niveau 2 — Mesures de ratio</w:t>
      </w:r>
    </w:p>
    <w:p>
      <w:pPr>
        <w:pStyle w:val="Heading3"/>
        <w:spacing w:after="120" w:before="240"/>
      </w:pPr>
      <w:r>
        <w:rPr>
          <w:rFonts w:ascii="Arial" w:cs="Arial" w:eastAsia="Arial" w:hAnsi="Arial"/>
          <w:b/>
          <w:bCs/>
          <w:color w:val="1F4E79"/>
          <w:sz w:val="24"/>
          <w:szCs w:val="24"/>
        </w:rPr>
        <w:t xml:space="preserve">Net Collection Rate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Net Collection Rate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DIVIDE(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[Total Payment],</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[Gross Charge] - [Total Adjustment],</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0</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Adjustment Rate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Adjustment Rate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DIVIDE([Total Adjustment], [Gross Charge], 0)</w:t>
      </w:r>
    </w:p>
    <w:p>
      <w:pPr>
        <w:spacing w:after="80" w:before="80"/>
        <w:jc w:val="left"/>
      </w:pPr>
      <w:r>
        <w:rPr>
          <w:rFonts w:ascii="Arial" w:cs="Arial" w:eastAsia="Arial" w:hAnsi="Arial"/>
          <w:color w:val="404040"/>
          <w:sz w:val="22"/>
          <w:szCs w:val="22"/>
        </w:rPr>
        <w:t xml:space="preserve">Valeur cible : 56.24% — Plus de la moitié des charges brutes sont effacées par des ajustements contractuels.</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AR Rate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AR Rate = DIVIDE([AR Outstanding], [Gross Charge], 0)</w:t>
      </w:r>
    </w:p>
    <w:p>
      <w:pPr>
        <w:spacing w:after="80" w:before="80"/>
        <w:jc w:val="left"/>
      </w:pPr>
      <w:r>
        <w:rPr>
          <w:rFonts w:ascii="Arial" w:cs="Arial" w:eastAsia="Arial" w:hAnsi="Arial"/>
          <w:color w:val="404040"/>
          <w:sz w:val="22"/>
          <w:szCs w:val="22"/>
        </w:rPr>
        <w:t xml:space="preserve">Valeur cible : 3.53% — Signal positif, AR bien maîtrisé globalement.</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Denial Rate — Version robuste avec BLANK()</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Denial Rate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VAR DenialCount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CALCULATE(COUNTROWS(FactTable),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DimTransaction[TransactionType] = "Denial")</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VAR ChargeCount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CALCULATE(COUNTROWS(FactTable),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DimTransaction[TransactionType] = "Charge")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RETURN</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IF(ChargeCount = 0, BLANK(),</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DIVIDE(DenialCount, ChargeCount, BLANK()))</w:t>
      </w:r>
    </w:p>
    <w:p>
      <w:pPr>
        <w:spacing w:after="80" w:before="80"/>
        <w:jc w:val="left"/>
      </w:pPr>
      <w:r>
        <w:rPr>
          <w:rFonts w:ascii="Arial" w:cs="Arial" w:eastAsia="Arial" w:hAnsi="Arial"/>
          <w:color w:val="404040"/>
          <w:sz w:val="22"/>
          <w:szCs w:val="22"/>
        </w:rPr>
        <w:t xml:space="preserve">Valeur cible : 21.06% — Norme sectorielle &lt; 5%. BLANK() évite l'affichage des médecins sans charges et protège contre le Denial Rate &gt; 100% (rejets sur période antérieure).</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Avg Charge per Transaction</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Avg Charge per Transaction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DIVIDE([Gross Charge], [Charge Count], 0)</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Revenue per Patient</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Revenue per Patient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DIVIDE([Gross Charge], [Patient Count], 0)</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5.4 Niveau 3 — Mesures avancées</w:t>
      </w:r>
    </w:p>
    <w:p>
      <w:pPr>
        <w:pStyle w:val="Heading3"/>
        <w:spacing w:after="120" w:before="240"/>
      </w:pPr>
      <w:r>
        <w:rPr>
          <w:rFonts w:ascii="Arial" w:cs="Arial" w:eastAsia="Arial" w:hAnsi="Arial"/>
          <w:b/>
          <w:bCs/>
          <w:color w:val="1F4E79"/>
          <w:sz w:val="24"/>
          <w:szCs w:val="24"/>
        </w:rPr>
        <w:t xml:space="preserve">Gross Charge by Service Date (relation inactive)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Gross Charge by Service Date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CALCULATE(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[Gross Charge],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USERELATIONSHIP(</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FactTable[dimDateServicePK],</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DimDate[dimDatePostPK]</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65100" w:sz="8"/>
              <w:left w:val="single" w:color="E65100" w:sz="12"/>
              <w:bottom w:val="single" w:color="E65100" w:sz="8"/>
              <w:right w:val="none" w:color="FFFFFF" w:sz="0"/>
            </w:tcBorders>
            <w:shd w:fill="FFF8E1" w:val="clear"/>
            <w:tcMar>
              <w:top w:type="dxa" w:w="80"/>
              <w:left w:type="dxa" w:w="120"/>
              <w:bottom w:type="dxa" w:w="80"/>
              <w:right w:type="dxa" w:w="80"/>
            </w:tcMar>
            <w:vAlign w:val="top"/>
          </w:tcPr>
          <w:p>
            <w:pPr>
              <w:spacing w:after="80" w:before="80"/>
              <w:jc w:val="center"/>
            </w:pPr>
            <w:r>
              <w:rPr>
                <w:rFonts w:ascii="Arial" w:cs="Arial" w:eastAsia="Arial" w:hAnsi="Arial"/>
                <w:b/>
                <w:bCs/>
                <w:color w:val="E65100"/>
                <w:sz w:val="26"/>
                <w:szCs w:val="26"/>
              </w:rPr>
              <w:t xml:space="preserve">!</w:t>
            </w:r>
          </w:p>
        </w:tc>
        <w:tc>
          <w:tcPr>
            <w:tcW w:type="dxa" w:w="8960"/>
            <w:tcBorders>
              <w:top w:val="single" w:color="E65100" w:sz="8"/>
              <w:left w:val="none" w:color="FFFFFF" w:sz="0"/>
              <w:bottom w:val="single" w:color="E65100" w:sz="8"/>
              <w:right w:val="single" w:color="E65100" w:sz="8"/>
            </w:tcBorders>
            <w:shd w:fill="FFF8E1" w:val="clear"/>
            <w:tcMar>
              <w:top w:type="dxa" w:w="80"/>
              <w:left w:type="dxa" w:w="120"/>
              <w:bottom w:type="dxa" w:w="80"/>
              <w:right w:type="dxa" w:w="120"/>
            </w:tcMar>
          </w:tcPr>
          <w:p>
            <w:pPr>
              <w:spacing w:after="40" w:before="40"/>
            </w:pPr>
            <w:r>
              <w:rPr>
                <w:rFonts w:ascii="Arial" w:cs="Arial" w:eastAsia="Arial" w:hAnsi="Arial"/>
                <w:b/>
                <w:bCs/>
                <w:color w:val="E65100"/>
                <w:sz w:val="22"/>
                <w:szCs w:val="22"/>
              </w:rPr>
              <w:t xml:space="preserve">Prérequis USERELATIONSHIP</w:t>
            </w:r>
          </w:p>
          <w:p>
            <w:pPr>
              <w:spacing w:after="40" w:before="40"/>
            </w:pPr>
            <w:r>
              <w:rPr>
                <w:rFonts w:ascii="Arial" w:cs="Arial" w:eastAsia="Arial" w:hAnsi="Arial"/>
                <w:color w:val="404040"/>
                <w:sz w:val="20"/>
                <w:szCs w:val="20"/>
              </w:rPr>
              <w:t xml:space="preserve">La relation inactive FactTable[dimDateServicePK] → DimDate[dimDatePostPK] DOIT exister dans le modèle avant d'écrire cette mesure. USERELATIONSHIP() active une relation existante — il ne la crée pas. Sans relation dans le modèle, l'erreur "colonne introuvable" est retournée.</w:t>
            </w:r>
          </w:p>
        </w:tc>
      </w:tr>
    </w:tbl>
    <w:p>
      <w:pPr>
        <w:spacing w:after="40" w:before="40"/>
      </w:pPr>
      <w:r>
        <w:t xml:space="preserve"/>
      </w:r>
    </w:p>
    <w:p>
      <w:pPr>
        <w:pStyle w:val="Heading3"/>
        <w:spacing w:after="120" w:before="240"/>
      </w:pPr>
      <w:r>
        <w:rPr>
          <w:rFonts w:ascii="Arial" w:cs="Arial" w:eastAsia="Arial" w:hAnsi="Arial"/>
          <w:b/>
          <w:bCs/>
          <w:color w:val="1F4E79"/>
          <w:sz w:val="24"/>
          <w:szCs w:val="24"/>
        </w:rPr>
        <w:t xml:space="preserve">Denial Rate Global (non affecté par les slicers)</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Denial Rate ALL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CALCULATE(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[Denial Rate],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ALL(DimLocation),</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ALL(DimPhysician),</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ALL(DimPayer)</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w:t>
      </w:r>
    </w:p>
    <w:p>
      <w:pPr>
        <w:spacing w:after="80" w:before="80"/>
        <w:jc w:val="left"/>
      </w:pPr>
      <w:r>
        <w:rPr>
          <w:rFonts w:ascii="Arial" w:cs="Arial" w:eastAsia="Arial" w:hAnsi="Arial"/>
          <w:color w:val="404040"/>
          <w:sz w:val="22"/>
          <w:szCs w:val="22"/>
        </w:rPr>
        <w:t xml:space="preserve">Mesure de contexte permanente — toujours visible même sous filtre. Permet à l'utilisateur de se situer par rapport à la performance globale même quand il filtre sur son site ou son assureur.</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ÉTAPE 6 — Time Intelligence DAX</w:t>
      </w:r>
    </w:p>
    <w:p>
      <w:pPr>
        <w:pStyle w:val="Heading2"/>
        <w:pBdr>
          <w:bottom w:val="single" w:color="2E75B6" w:sz="6"/>
        </w:pBdr>
        <w:spacing w:after="160" w:before="320"/>
      </w:pPr>
      <w:r>
        <w:rPr>
          <w:rFonts w:ascii="Arial" w:cs="Arial" w:eastAsia="Arial" w:hAnsi="Arial"/>
          <w:b/>
          <w:bCs/>
          <w:color w:val="2E75B6"/>
          <w:sz w:val="28"/>
          <w:szCs w:val="28"/>
        </w:rPr>
        <w:t xml:space="preserve">6.1 Prérequis obligatoires</w:t>
      </w:r>
    </w:p>
    <w:p>
      <w:pPr>
        <w:pStyle w:val="ListParagraph"/>
        <w:numPr>
          <w:ilvl w:val="0"/>
          <w:numId w:val="3"/>
        </w:numPr>
        <w:spacing w:after="60" w:before="60"/>
      </w:pPr>
      <w:r>
        <w:rPr>
          <w:rFonts w:ascii="Arial" w:cs="Arial" w:eastAsia="Arial" w:hAnsi="Arial"/>
          <w:b w:val="false"/>
          <w:bCs w:val="false"/>
          <w:color w:val="404040"/>
          <w:sz w:val="22"/>
          <w:szCs w:val="22"/>
        </w:rPr>
        <w:t xml:space="preserve">Colonne Date dans DimDate de type Date (pas texte, pas entier).</w:t>
      </w:r>
    </w:p>
    <w:p>
      <w:pPr>
        <w:pStyle w:val="ListParagraph"/>
        <w:numPr>
          <w:ilvl w:val="0"/>
          <w:numId w:val="3"/>
        </w:numPr>
        <w:spacing w:after="60" w:before="60"/>
      </w:pPr>
      <w:r>
        <w:rPr>
          <w:rFonts w:ascii="Arial" w:cs="Arial" w:eastAsia="Arial" w:hAnsi="Arial"/>
          <w:b w:val="false"/>
          <w:bCs w:val="false"/>
          <w:color w:val="404040"/>
          <w:sz w:val="22"/>
          <w:szCs w:val="22"/>
        </w:rPr>
        <w:t xml:space="preserve">DimDate marquée comme "Date Table" (clic droit → Mark as date table → sélectionner la colonne Date).</w:t>
      </w:r>
    </w:p>
    <w:p>
      <w:pPr>
        <w:pStyle w:val="ListParagraph"/>
        <w:numPr>
          <w:ilvl w:val="0"/>
          <w:numId w:val="3"/>
        </w:numPr>
        <w:spacing w:after="60" w:before="60"/>
      </w:pPr>
      <w:r>
        <w:rPr>
          <w:rFonts w:ascii="Arial" w:cs="Arial" w:eastAsia="Arial" w:hAnsi="Arial"/>
          <w:b w:val="false"/>
          <w:bCs w:val="false"/>
          <w:color w:val="404040"/>
          <w:sz w:val="22"/>
          <w:szCs w:val="22"/>
        </w:rPr>
        <w:t xml:space="preserve">DimDate doit couvrir les périodes de référence complètes (N-1 pour SAMEPERIODLASTYEAR, etc.).</w:t>
      </w:r>
    </w:p>
    <w:p>
      <w:pPr>
        <w:pStyle w:val="ListParagraph"/>
        <w:numPr>
          <w:ilvl w:val="0"/>
          <w:numId w:val="3"/>
        </w:numPr>
        <w:spacing w:after="60" w:before="60"/>
      </w:pPr>
      <w:r>
        <w:rPr>
          <w:rFonts w:ascii="Arial" w:cs="Arial" w:eastAsia="Arial" w:hAnsi="Arial"/>
          <w:b w:val="false"/>
          <w:bCs w:val="false"/>
          <w:color w:val="404040"/>
          <w:sz w:val="22"/>
          <w:szCs w:val="22"/>
        </w:rPr>
        <w:t xml:space="preserve">Aucun trou de date dans DimDate — même un jour manquant peut casser un calcul YTD.</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6.2 Contraintes spécifiques à ce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65100" w:sz="8"/>
              <w:left w:val="single" w:color="E65100" w:sz="12"/>
              <w:bottom w:val="single" w:color="E65100" w:sz="8"/>
              <w:right w:val="none" w:color="FFFFFF" w:sz="0"/>
            </w:tcBorders>
            <w:shd w:fill="FFF8E1" w:val="clear"/>
            <w:tcMar>
              <w:top w:type="dxa" w:w="80"/>
              <w:left w:type="dxa" w:w="120"/>
              <w:bottom w:type="dxa" w:w="80"/>
              <w:right w:type="dxa" w:w="80"/>
            </w:tcMar>
            <w:vAlign w:val="top"/>
          </w:tcPr>
          <w:p>
            <w:pPr>
              <w:spacing w:after="80" w:before="80"/>
              <w:jc w:val="center"/>
            </w:pPr>
            <w:r>
              <w:rPr>
                <w:rFonts w:ascii="Arial" w:cs="Arial" w:eastAsia="Arial" w:hAnsi="Arial"/>
                <w:b/>
                <w:bCs/>
                <w:color w:val="E65100"/>
                <w:sz w:val="26"/>
                <w:szCs w:val="26"/>
              </w:rPr>
              <w:t xml:space="preserve">!</w:t>
            </w:r>
          </w:p>
        </w:tc>
        <w:tc>
          <w:tcPr>
            <w:tcW w:type="dxa" w:w="8960"/>
            <w:tcBorders>
              <w:top w:val="single" w:color="E65100" w:sz="8"/>
              <w:left w:val="none" w:color="FFFFFF" w:sz="0"/>
              <w:bottom w:val="single" w:color="E65100" w:sz="8"/>
              <w:right w:val="single" w:color="E65100" w:sz="8"/>
            </w:tcBorders>
            <w:shd w:fill="FFF8E1" w:val="clear"/>
            <w:tcMar>
              <w:top w:type="dxa" w:w="80"/>
              <w:left w:type="dxa" w:w="120"/>
              <w:bottom w:type="dxa" w:w="80"/>
              <w:right w:type="dxa" w:w="120"/>
            </w:tcMar>
          </w:tcPr>
          <w:p>
            <w:pPr>
              <w:spacing w:after="40" w:before="40"/>
            </w:pPr>
            <w:r>
              <w:rPr>
                <w:rFonts w:ascii="Arial" w:cs="Arial" w:eastAsia="Arial" w:hAnsi="Arial"/>
                <w:b/>
                <w:bCs/>
                <w:color w:val="E65100"/>
                <w:sz w:val="22"/>
                <w:szCs w:val="22"/>
              </w:rPr>
              <w:t xml:space="preserve">Limite temporelle</w:t>
            </w:r>
          </w:p>
          <w:p>
            <w:pPr>
              <w:spacing w:after="40" w:before="40"/>
            </w:pPr>
            <w:r>
              <w:rPr>
                <w:rFonts w:ascii="Arial" w:cs="Arial" w:eastAsia="Arial" w:hAnsi="Arial"/>
                <w:color w:val="404040"/>
                <w:sz w:val="20"/>
                <w:szCs w:val="20"/>
              </w:rPr>
              <w:t xml:space="preserve">DimDate couvre déc 2019 à jul 2020 (224 dates). 92% des charges sont en déc 2019. SAMEPERIODLASTYEAR retourne BLANK() car déc 2018 est absent. TOTALYTD sur 2019 = 17 jours seulement. Les mesures sont correctes architecturalement et fonctionneront en production sur un dataset complet.</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6.3 Mesures Time Intelligence</w:t>
      </w:r>
    </w:p>
    <w:p>
      <w:pPr>
        <w:pStyle w:val="Heading3"/>
        <w:spacing w:after="120" w:before="240"/>
      </w:pPr>
      <w:r>
        <w:rPr>
          <w:rFonts w:ascii="Arial" w:cs="Arial" w:eastAsia="Arial" w:hAnsi="Arial"/>
          <w:b/>
          <w:bCs/>
          <w:color w:val="1F4E79"/>
          <w:sz w:val="24"/>
          <w:szCs w:val="24"/>
        </w:rPr>
        <w:t xml:space="preserve">YTD — Cumulé depuis le 1er janvier</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Gross Charge YTD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CALCULATE([Gross Charge], DATESYTD(DimDate[Date]))</w:t>
      </w:r>
    </w:p>
    <w:p>
      <w:pPr>
        <w:spacing w:after="80" w:before="80"/>
        <w:jc w:val="left"/>
      </w:pPr>
      <w:r>
        <w:rPr>
          <w:rFonts w:ascii="Arial" w:cs="Arial" w:eastAsia="Arial" w:hAnsi="Arial"/>
          <w:color w:val="404040"/>
          <w:sz w:val="22"/>
          <w:szCs w:val="22"/>
        </w:rPr>
        <w:t xml:space="preserve">Version explicite préférée en équipe car plus maintenable que TOTALYTD(). Possible d'ajouter "06/30" comme 2e paramètre de DATESYTD pour un fiscal year se terminant en juin.</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MTD — Cumulé depuis le 1er du mois</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Gross Charge MTD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TOTALMTD([Gross Charge], DimDate[Date])</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MoM — Mois précédent</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Gross Charge PreviousMonth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CALCULATE([Gross Charge], DATEADD(DimDate[Date], -1, MONTH))</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Variation MoM absolue et pourcentage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MoM Variance = [Gross Charge] - [Gross Charge PreviousMonth]</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MoM Variance %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DIVIDE([MoM Variance], [Gross Charge PreviousMonth], BLANK())</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SPLY — Même période année précédente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Gross Charge SPLY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CALCULATE([Gross Charge], SAMEPERIODLASTYEAR(DimDate[Date]))</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YoY Variation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YoY Variance %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DIVIDE([Gross Charge] - [Gross Charge SPLY], [Gross Charge SPLY], BLANK())</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6.4 Les 3 questions à poser avant toute mesure Time Intelligence</w:t>
      </w:r>
    </w:p>
    <w:p>
      <w:pPr>
        <w:pStyle w:val="ListParagraph"/>
        <w:numPr>
          <w:ilvl w:val="0"/>
          <w:numId w:val="2"/>
        </w:numPr>
        <w:spacing w:after="60" w:before="60"/>
      </w:pPr>
      <w:r>
        <w:rPr>
          <w:rFonts w:ascii="Arial" w:cs="Arial" w:eastAsia="Arial" w:hAnsi="Arial"/>
          <w:b w:val="false"/>
          <w:bCs w:val="false"/>
          <w:color w:val="404040"/>
          <w:sz w:val="22"/>
          <w:szCs w:val="22"/>
        </w:rPr>
        <w:t xml:space="preserve">Ma DimDate couvre-t-elle la période de référence ? (N-1 pour YoY, mois précédent pour MoM)</w:t>
      </w:r>
    </w:p>
    <w:p>
      <w:pPr>
        <w:pStyle w:val="ListParagraph"/>
        <w:numPr>
          <w:ilvl w:val="0"/>
          <w:numId w:val="2"/>
        </w:numPr>
        <w:spacing w:after="60" w:before="60"/>
      </w:pPr>
      <w:r>
        <w:rPr>
          <w:rFonts w:ascii="Arial" w:cs="Arial" w:eastAsia="Arial" w:hAnsi="Arial"/>
          <w:b w:val="false"/>
          <w:bCs w:val="false"/>
          <w:color w:val="404040"/>
          <w:sz w:val="22"/>
          <w:szCs w:val="22"/>
        </w:rPr>
        <w:t xml:space="preserve">Ma DimDate est-elle continue sans trou ? (un seul jour manquant peut réinitialiser un YTD)</w:t>
      </w:r>
    </w:p>
    <w:p>
      <w:pPr>
        <w:pStyle w:val="ListParagraph"/>
        <w:numPr>
          <w:ilvl w:val="0"/>
          <w:numId w:val="2"/>
        </w:numPr>
        <w:spacing w:after="60" w:before="60"/>
      </w:pPr>
      <w:r>
        <w:rPr>
          <w:rFonts w:ascii="Arial" w:cs="Arial" w:eastAsia="Arial" w:hAnsi="Arial"/>
          <w:b w:val="false"/>
          <w:bCs w:val="false"/>
          <w:color w:val="404040"/>
          <w:sz w:val="22"/>
          <w:szCs w:val="22"/>
        </w:rPr>
        <w:t xml:space="preserve">Mon filtre de contexte est-il au bon niveau de granularité ? (DATEADD se comporte différemment selon que la matrice est en jour ou en mois)</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ÉTAPE 7 — Row-Level Security (RLS)</w:t>
      </w:r>
    </w:p>
    <w:p>
      <w:pPr>
        <w:pStyle w:val="Heading2"/>
        <w:pBdr>
          <w:bottom w:val="single" w:color="2E75B6" w:sz="6"/>
        </w:pBdr>
        <w:spacing w:after="160" w:before="320"/>
      </w:pPr>
      <w:r>
        <w:rPr>
          <w:rFonts w:ascii="Arial" w:cs="Arial" w:eastAsia="Arial" w:hAnsi="Arial"/>
          <w:b/>
          <w:bCs/>
          <w:color w:val="2E75B6"/>
          <w:sz w:val="28"/>
          <w:szCs w:val="28"/>
        </w:rPr>
        <w:t xml:space="preserve">7.1 Principe et obligation HIPAA</w:t>
      </w:r>
    </w:p>
    <w:p>
      <w:pPr>
        <w:spacing w:after="80" w:before="80"/>
        <w:jc w:val="left"/>
      </w:pPr>
      <w:r>
        <w:rPr>
          <w:rFonts w:ascii="Arial" w:cs="Arial" w:eastAsia="Arial" w:hAnsi="Arial"/>
          <w:color w:val="404040"/>
          <w:sz w:val="22"/>
          <w:szCs w:val="22"/>
        </w:rPr>
        <w:t xml:space="preserve">Le RLS filtre les données avant qu'elles atteignent le visuel, en fonction de l'identité de l'utilisateur connecté (Azure Active Directory). Dans un environnement hospitalier américain, la réglementation HIPAA impose que chaque utilisateur ne voie que les données auxquelles il a légitimement accès.</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7.2 Architecture des 3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Rôle</w:t>
            </w:r>
          </w:p>
        </w:tc>
        <w:tc>
          <w:tcPr>
            <w:tcW w:type="dxa" w:w="3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Accès aux données</w:t>
            </w:r>
          </w:p>
        </w:tc>
        <w:tc>
          <w:tcPr>
            <w:tcW w:type="dxa" w:w="2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Table filtrée</w:t>
            </w:r>
          </w:p>
        </w:tc>
        <w:tc>
          <w:tcPr>
            <w:tcW w:type="dxa" w:w="23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Cas d'usage</w:t>
            </w:r>
          </w:p>
        </w:tc>
      </w:tr>
      <w:tr>
        <w:tc>
          <w:tcPr>
            <w:tcW w:type="dxa" w:w="2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Executive Director</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Toutes les données, tous les sites, tous les médecins</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Aucune (accès total)</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Direction générale, DAF, DG</w:t>
            </w:r>
          </w:p>
        </w:tc>
      </w:tr>
      <w:tr>
        <w:tc>
          <w:tcPr>
            <w:tcW w:type="dxa" w:w="200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Site Manager</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Uniquement les données de son site (LocationName)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DimLocation</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Responsable de clinique ou d'hôpital</w:t>
            </w:r>
          </w:p>
        </w:tc>
      </w:tr>
      <w:tr>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Physician</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Uniquement ses propres actes (ProviderName)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DimPhysician</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Médecin — suivi de ses propres performances</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7.3 Table SecurityTable (à créer en Power Query)</w:t>
      </w:r>
    </w:p>
    <w:p>
      <w:pPr>
        <w:spacing w:after="80" w:before="80"/>
        <w:jc w:val="left"/>
      </w:pPr>
      <w:r>
        <w:rPr>
          <w:rFonts w:ascii="Arial" w:cs="Arial" w:eastAsia="Arial" w:hAnsi="Arial"/>
          <w:color w:val="404040"/>
          <w:sz w:val="22"/>
          <w:szCs w:val="22"/>
        </w:rPr>
        <w:t xml:space="preserve">Cette table de mapping lie l'email Azure AD de chaque utilisateur à son rôle, site et nom de médecin.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560"/>
        <w:gridCol w:w="2000"/>
      </w:tblGrid>
      <w:tr>
        <w:tc>
          <w:tcPr>
            <w:tcW w:type="dxa" w:w="3000"/>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UserEmail</w:t>
            </w:r>
          </w:p>
        </w:tc>
        <w:tc>
          <w:tcPr>
            <w:tcW w:type="dxa" w:w="1800"/>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Role</w:t>
            </w:r>
          </w:p>
        </w:tc>
        <w:tc>
          <w:tcPr>
            <w:tcW w:type="dxa" w:w="2560"/>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LocationName</w:t>
            </w:r>
          </w:p>
        </w:tc>
        <w:tc>
          <w:tcPr>
            <w:tcW w:type="dxa" w:w="2000"/>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ProviderName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director@hospital.org</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Executive</w:t>
            </w:r>
          </w:p>
        </w:tc>
        <w:tc>
          <w:tcPr>
            <w:tcW w:type="dxa" w:w="2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null</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null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manager.angelstone@hospital.org</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SiteManager</w:t>
            </w:r>
          </w:p>
        </w:tc>
        <w:tc>
          <w:tcPr>
            <w:tcW w:type="dxa" w:w="2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Angelstone Community Hospital</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null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dr.martin@hospital.org</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Physician</w:t>
            </w:r>
          </w:p>
        </w:tc>
        <w:tc>
          <w:tcPr>
            <w:tcW w:type="dxa" w:w="2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null</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Dr. Martin</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7.4 Formules DAX des rôles</w:t>
      </w:r>
    </w:p>
    <w:p>
      <w:pPr>
        <w:pStyle w:val="Heading3"/>
        <w:spacing w:after="120" w:before="240"/>
      </w:pPr>
      <w:r>
        <w:rPr>
          <w:rFonts w:ascii="Arial" w:cs="Arial" w:eastAsia="Arial" w:hAnsi="Arial"/>
          <w:b/>
          <w:bCs/>
          <w:color w:val="1F4E79"/>
          <w:sz w:val="24"/>
          <w:szCs w:val="24"/>
        </w:rPr>
        <w:t xml:space="preserve">Rôle Site Manager — Filtre sur DimLocation</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[LocationName] = LOOKUPVALUE(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SecurityTable[LocationName],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SecurityTable[UserEmail],</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USERPRINCIPALNAME()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Rôle Physician — Filtre sur DimPhysician</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[ProviderName] = LOOKUPVALUE(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SecurityTable[ProviderName],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SecurityTable[UserEmail],</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USERPRINCIPALNAME()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7.5 Étapes de déploiement</w:t>
      </w:r>
    </w:p>
    <w:p>
      <w:pPr>
        <w:pStyle w:val="ListParagraph"/>
        <w:numPr>
          <w:ilvl w:val="0"/>
          <w:numId w:val="3"/>
        </w:numPr>
        <w:spacing w:after="60" w:before="60"/>
      </w:pPr>
      <w:r>
        <w:rPr>
          <w:rFonts w:ascii="Arial" w:cs="Arial" w:eastAsia="Arial" w:hAnsi="Arial"/>
          <w:b w:val="false"/>
          <w:bCs w:val="false"/>
          <w:color w:val="404040"/>
          <w:sz w:val="22"/>
          <w:szCs w:val="22"/>
        </w:rPr>
        <w:t xml:space="preserve">Créer les rôles dans Power BI Desktop : Modeling → Manage Roles.</w:t>
      </w:r>
    </w:p>
    <w:p>
      <w:pPr>
        <w:pStyle w:val="ListParagraph"/>
        <w:numPr>
          <w:ilvl w:val="0"/>
          <w:numId w:val="3"/>
        </w:numPr>
        <w:spacing w:after="60" w:before="60"/>
      </w:pPr>
      <w:r>
        <w:rPr>
          <w:rFonts w:ascii="Arial" w:cs="Arial" w:eastAsia="Arial" w:hAnsi="Arial"/>
          <w:b w:val="false"/>
          <w:bCs w:val="false"/>
          <w:color w:val="404040"/>
          <w:sz w:val="22"/>
          <w:szCs w:val="22"/>
        </w:rPr>
        <w:t xml:space="preserve">Tester chaque rôle : Modeling → View as → sélectionner un rôle.</w:t>
      </w:r>
    </w:p>
    <w:p>
      <w:pPr>
        <w:pStyle w:val="ListParagraph"/>
        <w:numPr>
          <w:ilvl w:val="0"/>
          <w:numId w:val="3"/>
        </w:numPr>
        <w:spacing w:after="60" w:before="60"/>
      </w:pPr>
      <w:r>
        <w:rPr>
          <w:rFonts w:ascii="Arial" w:cs="Arial" w:eastAsia="Arial" w:hAnsi="Arial"/>
          <w:b w:val="false"/>
          <w:bCs w:val="false"/>
          <w:color w:val="404040"/>
          <w:sz w:val="22"/>
          <w:szCs w:val="22"/>
        </w:rPr>
        <w:t xml:space="preserve">Publier sur Power BI Service.</w:t>
      </w:r>
    </w:p>
    <w:p>
      <w:pPr>
        <w:pStyle w:val="ListParagraph"/>
        <w:numPr>
          <w:ilvl w:val="0"/>
          <w:numId w:val="3"/>
        </w:numPr>
        <w:spacing w:after="60" w:before="60"/>
      </w:pPr>
      <w:r>
        <w:rPr>
          <w:rFonts w:ascii="Arial" w:cs="Arial" w:eastAsia="Arial" w:hAnsi="Arial"/>
          <w:b w:val="false"/>
          <w:bCs w:val="false"/>
          <w:color w:val="404040"/>
          <w:sz w:val="22"/>
          <w:szCs w:val="22"/>
        </w:rPr>
        <w:t xml:space="preserve">Assigner les utilisateurs Azure AD à chaque rôle dans Dataset → Security.</w:t>
      </w:r>
    </w:p>
    <w:p>
      <w:pPr>
        <w:pStyle w:val="ListParagraph"/>
        <w:numPr>
          <w:ilvl w:val="0"/>
          <w:numId w:val="3"/>
        </w:numPr>
        <w:spacing w:after="60" w:before="60"/>
      </w:pPr>
      <w:r>
        <w:rPr>
          <w:rFonts w:ascii="Arial" w:cs="Arial" w:eastAsia="Arial" w:hAnsi="Arial"/>
          <w:b w:val="false"/>
          <w:bCs w:val="false"/>
          <w:color w:val="404040"/>
          <w:sz w:val="22"/>
          <w:szCs w:val="22"/>
        </w:rPr>
        <w:t xml:space="preserve">Tester avec des comptes réels (pas seulement la simulation Desktop).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24B4A" w:sz="8"/>
              <w:left w:val="single" w:color="E24B4A" w:sz="12"/>
              <w:bottom w:val="single" w:color="E24B4A" w:sz="8"/>
              <w:right w:val="none" w:color="FFFFFF" w:sz="0"/>
            </w:tcBorders>
            <w:shd w:fill="FFEBEE" w:val="clear"/>
            <w:tcMar>
              <w:top w:type="dxa" w:w="80"/>
              <w:left w:type="dxa" w:w="120"/>
              <w:bottom w:type="dxa" w:w="80"/>
              <w:right w:type="dxa" w:w="80"/>
            </w:tcMar>
            <w:vAlign w:val="top"/>
          </w:tcPr>
          <w:p>
            <w:pPr>
              <w:spacing w:after="80" w:before="80"/>
              <w:jc w:val="center"/>
            </w:pPr>
            <w:r>
              <w:rPr>
                <w:rFonts w:ascii="Arial" w:cs="Arial" w:eastAsia="Arial" w:hAnsi="Arial"/>
                <w:b/>
                <w:bCs/>
                <w:color w:val="E24B4A"/>
                <w:sz w:val="26"/>
                <w:szCs w:val="26"/>
              </w:rPr>
              <w:t xml:space="preserve">!</w:t>
            </w:r>
          </w:p>
        </w:tc>
        <w:tc>
          <w:tcPr>
            <w:tcW w:type="dxa" w:w="8960"/>
            <w:tcBorders>
              <w:top w:val="single" w:color="E24B4A" w:sz="8"/>
              <w:left w:val="none" w:color="FFFFFF" w:sz="0"/>
              <w:bottom w:val="single" w:color="E24B4A" w:sz="8"/>
              <w:right w:val="single" w:color="E24B4A" w:sz="8"/>
            </w:tcBorders>
            <w:shd w:fill="FFEBEE" w:val="clear"/>
            <w:tcMar>
              <w:top w:type="dxa" w:w="80"/>
              <w:left w:type="dxa" w:w="120"/>
              <w:bottom w:type="dxa" w:w="80"/>
              <w:right w:type="dxa" w:w="120"/>
            </w:tcMar>
          </w:tcPr>
          <w:p>
            <w:pPr>
              <w:spacing w:after="40" w:before="40"/>
            </w:pPr>
            <w:r>
              <w:rPr>
                <w:rFonts w:ascii="Arial" w:cs="Arial" w:eastAsia="Arial" w:hAnsi="Arial"/>
                <w:b/>
                <w:bCs/>
                <w:color w:val="E24B4A"/>
                <w:sz w:val="22"/>
                <w:szCs w:val="22"/>
              </w:rPr>
              <w:t xml:space="preserve">Piège critique RLS — Direction de filtre</w:t>
            </w:r>
          </w:p>
          <w:p>
            <w:pPr>
              <w:spacing w:after="40" w:before="40"/>
            </w:pPr>
            <w:r>
              <w:rPr>
                <w:rFonts w:ascii="Arial" w:cs="Arial" w:eastAsia="Arial" w:hAnsi="Arial"/>
                <w:color w:val="404040"/>
                <w:sz w:val="20"/>
                <w:szCs w:val="20"/>
              </w:rPr>
              <w:t xml:space="preserve">Si une relation est configurée en Both (bidirectionnel), le filtre RLS peut se propager dans les deux sens et exposer des données non autorisées. Vérifier que toutes les relations sont en Single (Dim → Fait) avant d'activer le RLS en production.</w:t>
            </w:r>
          </w:p>
        </w:tc>
      </w:tr>
    </w:tbl>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ÉTAPE 8 — Analyse du Denial Rate</w:t>
      </w:r>
    </w:p>
    <w:p>
      <w:pPr>
        <w:pStyle w:val="Heading2"/>
        <w:pBdr>
          <w:bottom w:val="single" w:color="2E75B6" w:sz="6"/>
        </w:pBdr>
        <w:spacing w:after="160" w:before="320"/>
      </w:pPr>
      <w:r>
        <w:rPr>
          <w:rFonts w:ascii="Arial" w:cs="Arial" w:eastAsia="Arial" w:hAnsi="Arial"/>
          <w:b/>
          <w:bCs/>
          <w:color w:val="2E75B6"/>
          <w:sz w:val="28"/>
          <w:szCs w:val="28"/>
        </w:rPr>
        <w:t xml:space="preserve">8.1 Le constat — 21.06% de Denial Rate</w:t>
      </w:r>
    </w:p>
    <w:p>
      <w:pPr>
        <w:spacing w:after="80" w:before="80"/>
        <w:jc w:val="left"/>
      </w:pPr>
      <w:r>
        <w:rPr>
          <w:rFonts w:ascii="Arial" w:cs="Arial" w:eastAsia="Arial" w:hAnsi="Arial"/>
          <w:color w:val="404040"/>
          <w:sz w:val="22"/>
          <w:szCs w:val="22"/>
        </w:rPr>
        <w:t xml:space="preserve">Le Denial Rate global de 21.06% est 4× supérieur à la norme sectorielle de &lt; 5%. Cela signifie qu'un acte médical sur cinq est rejeté sans paiement. Ce n'est pas un problème de recouvrement (le NCR est à 93%) — c'est un problème de conformité de codification en amont.</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8.2 Analyse par assureur (Payer)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Assureur</w:t>
            </w:r>
          </w:p>
        </w:tc>
        <w:tc>
          <w:tcPr>
            <w:tcW w:type="dxa" w:w="1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Denial Rate</w:t>
            </w:r>
          </w:p>
        </w:tc>
        <w:tc>
          <w:tcPr>
            <w:tcW w:type="dxa" w:w="1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NCR</w:t>
            </w:r>
          </w:p>
        </w:tc>
        <w:tc>
          <w:tcPr>
            <w:tcW w:type="dxa" w:w="43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Interprétation métier</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Medicaid</w:t>
            </w:r>
          </w:p>
        </w:tc>
        <w:tc>
          <w:tcPr>
            <w:tcW w:type="dxa" w:w="160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40.7% ⚠️</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75.1%</w:t>
            </w:r>
          </w:p>
        </w:tc>
        <w:tc>
          <w:tcPr>
            <w:tcW w:type="dxa" w:w="4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Règles CMS strictes + adjustment 67% — coût admin très élevé, revenu net faible</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Medicare</w:t>
            </w:r>
          </w:p>
        </w:tc>
        <w:tc>
          <w:tcPr>
            <w:tcW w:type="dxa" w:w="160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30.5% ⚠️</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95.3%</w:t>
            </w:r>
          </w:p>
        </w:tc>
        <w:tc>
          <w:tcPr>
            <w:tcW w:type="dxa" w:w="4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Paradoxe : meilleur NCR + fort Denial. Paie vite ce qu'il accepte. Problème de codification CMS.</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Commercial</w:t>
            </w:r>
          </w:p>
        </w:tc>
        <w:tc>
          <w:tcPr>
            <w:tcW w:type="dxa" w:w="16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12.0%</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93.1%</w:t>
            </w:r>
          </w:p>
        </w:tc>
        <w:tc>
          <w:tcPr>
            <w:tcW w:type="dxa" w:w="4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Meilleur équilibre global. Levier de négociation contractuelle possible.</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Other</w:t>
            </w:r>
          </w:p>
        </w:tc>
        <w:tc>
          <w:tcPr>
            <w:tcW w:type="dxa" w:w="160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6.3%</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33.0%</w:t>
            </w:r>
          </w:p>
        </w:tc>
        <w:tc>
          <w:tcPr>
            <w:tcW w:type="dxa" w:w="4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AR à 51% — problème de suivi urgenturgent, pas de Denial. Dossiers non réconciliés.</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8.3 Analyse par groupe CPT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c>
          <w:tcPr>
            <w:tcW w:type="dxa" w:w="25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CPT Grouping</w:t>
            </w:r>
          </w:p>
        </w:tc>
        <w:tc>
          <w:tcPr>
            <w:tcW w:type="dxa" w:w="1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Denial Rate</w:t>
            </w:r>
          </w:p>
        </w:tc>
        <w:tc>
          <w:tcPr>
            <w:tcW w:type="dxa" w:w="52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Signal prioritaire</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Hospital</w:t>
            </w:r>
          </w:p>
        </w:tc>
        <w:tc>
          <w:tcPr>
            <w:tcW w:type="dxa" w:w="160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46.6%</w:t>
            </w:r>
          </w:p>
        </w:tc>
        <w:tc>
          <w:tcPr>
            <w:tcW w:type="dxa" w:w="52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Actes complexes nécessitant documentation clinique précise — audit prioritaire</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Surgery</w:t>
            </w:r>
          </w:p>
        </w:tc>
        <w:tc>
          <w:tcPr>
            <w:tcW w:type="dxa" w:w="160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32.5%</w:t>
            </w:r>
          </w:p>
        </w:tc>
        <w:tc>
          <w:tcPr>
            <w:tcW w:type="dxa" w:w="52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Même logique que Hospital — pre-authorization souvent manquante</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Office Visits</w:t>
            </w:r>
          </w:p>
        </w:tc>
        <w:tc>
          <w:tcPr>
            <w:tcW w:type="dxa" w:w="16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25.4%</w:t>
            </w:r>
          </w:p>
        </w:tc>
        <w:tc>
          <w:tcPr>
            <w:tcW w:type="dxa" w:w="52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Volume élevé — impact absolu important malgré taux modéré</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CPT Cat II</w:t>
            </w:r>
          </w:p>
        </w:tc>
        <w:tc>
          <w:tcPr>
            <w:tcW w:type="dxa" w:w="160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0.3%</w:t>
            </w:r>
          </w:p>
        </w:tc>
        <w:tc>
          <w:tcPr>
            <w:tcW w:type="dxa" w:w="52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Codes de suivi qualité — aucun revenu généré ($0.28 de charges sur 14 888 transactions)</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8.4 Analyse par spécialité médicale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Spécialité</w:t>
            </w:r>
          </w:p>
        </w:tc>
        <w:tc>
          <w:tcPr>
            <w:tcW w:type="dxa" w:w="1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Denial Rate</w:t>
            </w:r>
          </w:p>
        </w:tc>
        <w:tc>
          <w:tcPr>
            <w:tcW w:type="dxa" w:w="47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Action recommandée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Physical Medicine &amp; Rehab</w:t>
            </w:r>
          </w:p>
        </w:tc>
        <w:tc>
          <w:tcPr>
            <w:tcW w:type="dxa" w:w="160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54.4%</w:t>
            </w:r>
          </w:p>
        </w:tc>
        <w:tc>
          <w:tcPr>
            <w:tcW w:type="dxa" w:w="4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Formation urgente règles CMS + audit codification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Physician Assistant</w:t>
            </w:r>
          </w:p>
        </w:tc>
        <w:tc>
          <w:tcPr>
            <w:tcW w:type="dxa" w:w="160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45.0%</w:t>
            </w:r>
          </w:p>
        </w:tc>
        <w:tc>
          <w:tcPr>
            <w:tcW w:type="dxa" w:w="4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Formation CMS 2 jours — levier humain le plus rapide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Nurse Practitioner</w:t>
            </w:r>
          </w:p>
        </w:tc>
        <w:tc>
          <w:tcPr>
            <w:tcW w:type="dxa" w:w="160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35.0%</w:t>
            </w:r>
          </w:p>
        </w:tc>
        <w:tc>
          <w:tcPr>
            <w:tcW w:type="dxa" w:w="4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Même action que PA — 98 praticiens concernés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Emergency Medicine</w:t>
            </w:r>
          </w:p>
        </w:tc>
        <w:tc>
          <w:tcPr>
            <w:tcW w:type="dxa" w:w="160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35.2%</w:t>
            </w:r>
          </w:p>
        </w:tc>
        <w:tc>
          <w:tcPr>
            <w:tcW w:type="dxa" w:w="4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Contexte urgences : documentation souvent incomplète — process pré-soumission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Internal Medicine</w:t>
            </w:r>
          </w:p>
        </w:tc>
        <w:tc>
          <w:tcPr>
            <w:tcW w:type="dxa" w:w="160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15.1%</w:t>
            </w:r>
          </w:p>
        </w:tc>
        <w:tc>
          <w:tcPr>
            <w:tcW w:type="dxa" w:w="4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Monitoring — le moins critique parmi les spécialités à volume élevé</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65100" w:sz="8"/>
              <w:left w:val="single" w:color="E65100" w:sz="12"/>
              <w:bottom w:val="single" w:color="E65100" w:sz="8"/>
              <w:right w:val="none" w:color="FFFFFF" w:sz="0"/>
            </w:tcBorders>
            <w:shd w:fill="FFF8E1" w:val="clear"/>
            <w:tcMar>
              <w:top w:type="dxa" w:w="80"/>
              <w:left w:type="dxa" w:w="120"/>
              <w:bottom w:type="dxa" w:w="80"/>
              <w:right w:type="dxa" w:w="80"/>
            </w:tcMar>
            <w:vAlign w:val="top"/>
          </w:tcPr>
          <w:p>
            <w:pPr>
              <w:spacing w:after="80" w:before="80"/>
              <w:jc w:val="center"/>
            </w:pPr>
            <w:r>
              <w:rPr>
                <w:rFonts w:ascii="Arial" w:cs="Arial" w:eastAsia="Arial" w:hAnsi="Arial"/>
                <w:b/>
                <w:bCs/>
                <w:color w:val="E65100"/>
                <w:sz w:val="26"/>
                <w:szCs w:val="26"/>
              </w:rPr>
              <w:t xml:space="preserve">!</w:t>
            </w:r>
          </w:p>
        </w:tc>
        <w:tc>
          <w:tcPr>
            <w:tcW w:type="dxa" w:w="8960"/>
            <w:tcBorders>
              <w:top w:val="single" w:color="E65100" w:sz="8"/>
              <w:left w:val="none" w:color="FFFFFF" w:sz="0"/>
              <w:bottom w:val="single" w:color="E65100" w:sz="8"/>
              <w:right w:val="single" w:color="E65100" w:sz="8"/>
            </w:tcBorders>
            <w:shd w:fill="FFF8E1" w:val="clear"/>
            <w:tcMar>
              <w:top w:type="dxa" w:w="80"/>
              <w:left w:type="dxa" w:w="120"/>
              <w:bottom w:type="dxa" w:w="80"/>
              <w:right w:type="dxa" w:w="120"/>
            </w:tcMar>
          </w:tcPr>
          <w:p>
            <w:pPr>
              <w:spacing w:after="40" w:before="40"/>
            </w:pPr>
            <w:r>
              <w:rPr>
                <w:rFonts w:ascii="Arial" w:cs="Arial" w:eastAsia="Arial" w:hAnsi="Arial"/>
                <w:b/>
                <w:bCs/>
                <w:color w:val="E65100"/>
                <w:sz w:val="22"/>
                <w:szCs w:val="22"/>
              </w:rPr>
              <w:t xml:space="preserve">Anomalie — Denial Rate &gt; 100%</w:t>
            </w:r>
          </w:p>
          <w:p>
            <w:pPr>
              <w:spacing w:after="40" w:before="40"/>
            </w:pPr>
            <w:r>
              <w:rPr>
                <w:rFonts w:ascii="Arial" w:cs="Arial" w:eastAsia="Arial" w:hAnsi="Arial"/>
                <w:color w:val="404040"/>
                <w:sz w:val="20"/>
                <w:szCs w:val="20"/>
              </w:rPr>
              <w:t xml:space="preserve">5 médecins affichent un Denial Rate &gt; 100% (Dr. Crosby : 130%). Ce phénomène est mathématiquement cohérent mais analytiquement trompeur : leurs rejets portent sur des charges d'une période antérieure non incluse dans ce dataset. En production : filtrer sur un minimum de 50 charges ET sur une période glissante cohérente.</w:t>
            </w:r>
          </w:p>
        </w:tc>
      </w:tr>
    </w:tbl>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ÉTAPE 9 — Analyse de Cohortes Patients</w:t>
      </w:r>
    </w:p>
    <w:p>
      <w:pPr>
        <w:pStyle w:val="Heading2"/>
        <w:pBdr>
          <w:bottom w:val="single" w:color="2E75B6" w:sz="6"/>
        </w:pBdr>
        <w:spacing w:after="160" w:before="320"/>
      </w:pPr>
      <w:r>
        <w:rPr>
          <w:rFonts w:ascii="Arial" w:cs="Arial" w:eastAsia="Arial" w:hAnsi="Arial"/>
          <w:b/>
          <w:bCs/>
          <w:color w:val="2E75B6"/>
          <w:sz w:val="28"/>
          <w:szCs w:val="28"/>
        </w:rPr>
        <w:t xml:space="preserve">9.1 Cohorte 1 — Par groupe d'âge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1400"/>
        <w:gridCol w:w="1600"/>
        <w:gridCol w:w="960"/>
      </w:tblGrid>
      <w:tr>
        <w:tc>
          <w:tcPr>
            <w:tcW w:type="dxa" w:w="2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AgeGroup</w:t>
            </w:r>
          </w:p>
        </w:tc>
        <w:tc>
          <w:tcPr>
            <w:tcW w:type="dxa" w:w="1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Patients</w:t>
            </w:r>
          </w:p>
        </w:tc>
        <w:tc>
          <w:tcPr>
            <w:tcW w:type="dxa" w:w="18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Gross Charge</w:t>
            </w:r>
          </w:p>
        </w:tc>
        <w:tc>
          <w:tcPr>
            <w:tcW w:type="dxa" w:w="1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 Revenu</w:t>
            </w:r>
          </w:p>
        </w:tc>
        <w:tc>
          <w:tcPr>
            <w:tcW w:type="dxa" w:w="1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Avg / patient</w:t>
            </w:r>
          </w:p>
        </w:tc>
        <w:tc>
          <w:tcPr>
            <w:tcW w:type="dxa" w:w="9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Insight</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65+ (Senior)</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1 415</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$409K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27.8%</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$289</w:t>
            </w:r>
          </w:p>
        </w:tc>
        <w:tc>
          <w:tcPr>
            <w:tcW w:type="dxa" w:w="96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Medicare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18-34 (Young Adult)</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949</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$305K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20.7%</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$321</w:t>
            </w:r>
          </w:p>
        </w:tc>
        <w:tc>
          <w:tcPr>
            <w:tcW w:type="dxa" w:w="96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Plus haute avg</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0-17 (Pediatric)</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992</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$291K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19.8%</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$294</w:t>
            </w:r>
          </w:p>
        </w:tc>
        <w:tc>
          <w:tcPr>
            <w:tcW w:type="dxa" w:w="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Pédiatrie spé.</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35-49 (Adult)</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858</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$241K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16.4%</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$281</w:t>
            </w:r>
          </w:p>
        </w:tc>
        <w:tc>
          <w:tcPr>
            <w:tcW w:type="dxa" w:w="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50-64 (Middle Age)</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846</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$214K</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14.5%</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$253</w:t>
            </w:r>
          </w:p>
        </w:tc>
        <w:tc>
          <w:tcPr>
            <w:tcW w:type="dxa" w:w="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9.2 Cohorte 2 — Fréquence de visite (segmentation RFM)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600"/>
        <w:gridCol w:w="1360"/>
      </w:tblGrid>
      <w:tr>
        <w:tc>
          <w:tcPr>
            <w:tcW w:type="dxa" w:w="2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Segment</w:t>
            </w:r>
          </w:p>
        </w:tc>
        <w:tc>
          <w:tcPr>
            <w:tcW w:type="dxa" w:w="1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Patients</w:t>
            </w:r>
          </w:p>
        </w:tc>
        <w:tc>
          <w:tcPr>
            <w:tcW w:type="dxa" w:w="1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 Patients</w:t>
            </w:r>
          </w:p>
        </w:tc>
        <w:tc>
          <w:tcPr>
            <w:tcW w:type="dxa" w:w="1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 Revenu</w:t>
            </w:r>
          </w:p>
        </w:tc>
        <w:tc>
          <w:tcPr>
            <w:tcW w:type="dxa" w:w="1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Avg / patient</w:t>
            </w:r>
          </w:p>
        </w:tc>
        <w:tc>
          <w:tcPr>
            <w:tcW w:type="dxa" w:w="13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Priorité</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Frequent (8+ visites)</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198</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3.9%</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10.7%</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$797</w:t>
            </w:r>
          </w:p>
        </w:tc>
        <w:tc>
          <w:tcPr>
            <w:tcW w:type="dxa" w:w="136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Fidéliser</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Regular (4-7 visites)</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991</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19.4%</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29.9%</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$444</w:t>
            </w:r>
          </w:p>
        </w:tc>
        <w:tc>
          <w:tcPr>
            <w:tcW w:type="dxa" w:w="136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Priorité AR</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Occasional (2-3 visites)</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2 058</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40.2%</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37.5%</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$268</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Volume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One-time (1 visite)</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1 870</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36.5%</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21.9%</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$172</w:t>
            </w:r>
          </w:p>
        </w:tc>
        <w:tc>
          <w:tcPr>
            <w:tcW w:type="dxa" w:w="136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Investiguer</w:t>
            </w:r>
          </w:p>
        </w:tc>
      </w:tr>
    </w:tbl>
    <w:p>
      <w:pPr>
        <w:spacing w:after="80" w:before="80"/>
        <w:jc w:val="left"/>
      </w:pPr>
      <w:r>
        <w:rPr>
          <w:rFonts w:ascii="Arial" w:cs="Arial" w:eastAsia="Arial" w:hAnsi="Arial"/>
          <w:color w:val="404040"/>
          <w:sz w:val="22"/>
          <w:szCs w:val="22"/>
        </w:rPr>
        <w:t xml:space="preserve">Insight Pareto : 23.3% des patients (Regular + Frequent) génèrent 40.6% du revenu. Un patient one-time génère 4.6× moins de revenus qu'un patient fréquent.</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9.3 Mesures DAX pour les cohortes</w:t>
      </w:r>
    </w:p>
    <w:p>
      <w:pPr>
        <w:pStyle w:val="Heading3"/>
        <w:spacing w:after="120" w:before="240"/>
      </w:pPr>
      <w:r>
        <w:rPr>
          <w:rFonts w:ascii="Arial" w:cs="Arial" w:eastAsia="Arial" w:hAnsi="Arial"/>
          <w:b/>
          <w:bCs/>
          <w:color w:val="1F4E79"/>
          <w:sz w:val="24"/>
          <w:szCs w:val="24"/>
        </w:rPr>
        <w:t xml:space="preserve">Segmentation visite (colonne calculée dans DimPatient)</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Visit Count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CALCULATE(COUNTROWS(FactTable),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ALLEXCEPT(FactTable, FactTable[dimPatientPK]))</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Visit Segment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SWITCH(TRUE(),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[Visit Count] = 1, "One-time",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[Visit Count] &lt;= 3, "Occasional",</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[Visit Count] &lt;= 7, "Regular",</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"Frequent")</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Taux de patients one-time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One-time Patient Rate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DIVIDE(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CALCULATE([Patient Count], DimPatient[Visit Segment] = "One-time"),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[Patient Count], BLANK())</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Flag patient à haute valeur (colonne calculée)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High Value Patient =</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IF([Visit Count] &gt;= 4 &amp;&amp;</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CALCULATE(SUM(FactTable[GrossCharge]),</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ALLEXCEPT(FactTable, FactTable[dimPatientPK])) &gt; 500,</w:t>
      </w:r>
    </w:p>
    <w:p>
      <w:pPr>
        <w:pBdr>
          <w:left w:val="single" w:color="2E75B6" w:sz="12"/>
        </w:pBdr>
        <w:shd w:fill="EFF3F8" w:val="clear"/>
        <w:spacing w:after="40" w:before="40"/>
        <w:ind w:left="360" w:right="360"/>
      </w:pPr>
      <w:r>
        <w:rPr>
          <w:rFonts w:ascii="Courier New" w:cs="Courier New" w:eastAsia="Courier New" w:hAnsi="Courier New"/>
          <w:color w:val="1F4E79"/>
          <w:sz w:val="18"/>
          <w:szCs w:val="18"/>
        </w:rPr>
        <w:t xml:space="preserve">   "High Value", "Standard")</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ÉTAPE 10 — Dashboard Power BI (4 pages)</w:t>
      </w:r>
    </w:p>
    <w:p>
      <w:pPr>
        <w:pStyle w:val="Heading2"/>
        <w:pBdr>
          <w:bottom w:val="single" w:color="2E75B6" w:sz="6"/>
        </w:pBdr>
        <w:spacing w:after="160" w:before="320"/>
      </w:pPr>
      <w:r>
        <w:rPr>
          <w:rFonts w:ascii="Arial" w:cs="Arial" w:eastAsia="Arial" w:hAnsi="Arial"/>
          <w:b/>
          <w:bCs/>
          <w:color w:val="2E75B6"/>
          <w:sz w:val="28"/>
          <w:szCs w:val="28"/>
        </w:rPr>
        <w:t xml:space="preserve">10.1 Architecture du dashboard</w:t>
      </w:r>
    </w:p>
    <w:p>
      <w:pPr>
        <w:spacing w:after="80" w:before="80"/>
        <w:jc w:val="left"/>
      </w:pPr>
      <w:r>
        <w:rPr>
          <w:rFonts w:ascii="Arial" w:cs="Arial" w:eastAsia="Arial" w:hAnsi="Arial"/>
          <w:color w:val="404040"/>
          <w:sz w:val="22"/>
          <w:szCs w:val="22"/>
        </w:rPr>
        <w:t xml:space="preserve">Le dashboard suit une logique narrative en entonnoir : du global au particulier, du constat à l'action. Chaque page répond à une question décisionnelle différente.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360"/>
      </w:tblGrid>
      <w:tr>
        <w:tc>
          <w:tcPr>
            <w:tcW w:type="dxa" w:w="8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Page</w:t>
            </w:r>
          </w:p>
        </w:tc>
        <w:tc>
          <w:tcPr>
            <w:tcW w:type="dxa" w:w="2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Titre</w:t>
            </w:r>
          </w:p>
        </w:tc>
        <w:tc>
          <w:tcPr>
            <w:tcW w:type="dxa" w:w="3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Question décisionnelle</w:t>
            </w:r>
          </w:p>
        </w:tc>
        <w:tc>
          <w:tcPr>
            <w:tcW w:type="dxa" w:w="33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Audience</w:t>
            </w:r>
          </w:p>
        </w:tc>
      </w:tr>
      <w:tr>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1</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Executive Overview</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Combien on facture, encaisse et doit encore récupérer ?</w:t>
            </w:r>
          </w:p>
        </w:tc>
        <w:tc>
          <w:tcPr>
            <w:tcW w:type="dxa" w:w="3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Direction générale, DAF, DG (30 secondes)</w:t>
            </w:r>
          </w:p>
        </w:tc>
      </w:tr>
      <w:tr>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2</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Denial Analysis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Où se concentrent les rejets et pourquoi ?</w:t>
            </w:r>
          </w:p>
        </w:tc>
        <w:tc>
          <w:tcPr>
            <w:tcW w:type="dxa" w:w="3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Directeur médical, responsable facturation</w:t>
            </w:r>
          </w:p>
        </w:tc>
      </w:tr>
      <w:tr>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3</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Physician Performance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Qui former en priorité pour réduire les rejets ?</w:t>
            </w:r>
          </w:p>
        </w:tc>
        <w:tc>
          <w:tcPr>
            <w:tcW w:type="dxa" w:w="3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Chef de service, DRH médical</w:t>
            </w:r>
          </w:p>
        </w:tc>
      </w:tr>
      <w:tr>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404040"/>
                <w:sz w:val="20"/>
                <w:szCs w:val="20"/>
              </w:rPr>
              <w:t xml:space="preserve">4</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Payer Mix</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Comment négocier avec chaque assureur ?</w:t>
            </w:r>
          </w:p>
        </w:tc>
        <w:tc>
          <w:tcPr>
            <w:tcW w:type="dxa" w:w="3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DAF, directeur des contrats</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10.2 Page 1 — Executive Overview</w:t>
      </w:r>
    </w:p>
    <w:p>
      <w:pPr>
        <w:pStyle w:val="Heading3"/>
        <w:spacing w:after="120" w:before="240"/>
      </w:pPr>
      <w:r>
        <w:rPr>
          <w:rFonts w:ascii="Arial" w:cs="Arial" w:eastAsia="Arial" w:hAnsi="Arial"/>
          <w:b/>
          <w:bCs/>
          <w:color w:val="1F4E79"/>
          <w:sz w:val="24"/>
          <w:szCs w:val="24"/>
        </w:rPr>
        <w:t xml:space="preserve">KPIs cards (ordre de lecture recommandé)</w:t>
      </w:r>
    </w:p>
    <w:p>
      <w:pPr>
        <w:pStyle w:val="ListParagraph"/>
        <w:numPr>
          <w:ilvl w:val="0"/>
          <w:numId w:val="3"/>
        </w:numPr>
        <w:spacing w:after="60" w:before="60"/>
      </w:pPr>
      <w:r>
        <w:rPr>
          <w:rFonts w:ascii="Arial" w:cs="Arial" w:eastAsia="Arial" w:hAnsi="Arial"/>
          <w:b w:val="false"/>
          <w:bCs w:val="false"/>
          <w:color w:val="404040"/>
          <w:sz w:val="22"/>
          <w:szCs w:val="22"/>
        </w:rPr>
        <w:t xml:space="preserve">Gross Charge — Volume d'activité (bleu)</w:t>
      </w:r>
    </w:p>
    <w:p>
      <w:pPr>
        <w:pStyle w:val="ListParagraph"/>
        <w:numPr>
          <w:ilvl w:val="0"/>
          <w:numId w:val="3"/>
        </w:numPr>
        <w:spacing w:after="60" w:before="60"/>
      </w:pPr>
      <w:r>
        <w:rPr>
          <w:rFonts w:ascii="Arial" w:cs="Arial" w:eastAsia="Arial" w:hAnsi="Arial"/>
          <w:b w:val="false"/>
          <w:bCs w:val="false"/>
          <w:color w:val="404040"/>
          <w:sz w:val="22"/>
          <w:szCs w:val="22"/>
        </w:rPr>
        <w:t xml:space="preserve">Total Payment — Argent encaissé (vert)</w:t>
      </w:r>
    </w:p>
    <w:p>
      <w:pPr>
        <w:pStyle w:val="ListParagraph"/>
        <w:numPr>
          <w:ilvl w:val="0"/>
          <w:numId w:val="3"/>
        </w:numPr>
        <w:spacing w:after="60" w:before="60"/>
      </w:pPr>
      <w:r>
        <w:rPr>
          <w:rFonts w:ascii="Arial" w:cs="Arial" w:eastAsia="Arial" w:hAnsi="Arial"/>
          <w:b w:val="false"/>
          <w:bCs w:val="false"/>
          <w:color w:val="404040"/>
          <w:sz w:val="22"/>
          <w:szCs w:val="22"/>
        </w:rPr>
        <w:t xml:space="preserve">AR Outstanding — Argent encore dû (orange)</w:t>
      </w:r>
    </w:p>
    <w:p>
      <w:pPr>
        <w:pStyle w:val="ListParagraph"/>
        <w:numPr>
          <w:ilvl w:val="0"/>
          <w:numId w:val="3"/>
        </w:numPr>
        <w:spacing w:after="60" w:before="60"/>
      </w:pPr>
      <w:r>
        <w:rPr>
          <w:rFonts w:ascii="Arial" w:cs="Arial" w:eastAsia="Arial" w:hAnsi="Arial"/>
          <w:b w:val="false"/>
          <w:bCs w:val="false"/>
          <w:color w:val="404040"/>
          <w:sz w:val="22"/>
          <w:szCs w:val="22"/>
        </w:rPr>
        <w:t xml:space="preserve">Net Collection Rate — Efficacité du recouvrement (vert si &gt; 95%)</w:t>
      </w:r>
    </w:p>
    <w:p>
      <w:pPr>
        <w:pStyle w:val="ListParagraph"/>
        <w:numPr>
          <w:ilvl w:val="0"/>
          <w:numId w:val="3"/>
        </w:numPr>
        <w:spacing w:after="60" w:before="60"/>
      </w:pPr>
      <w:r>
        <w:rPr>
          <w:rFonts w:ascii="Arial" w:cs="Arial" w:eastAsia="Arial" w:hAnsi="Arial"/>
          <w:b w:val="false"/>
          <w:bCs w:val="false"/>
          <w:color w:val="404040"/>
          <w:sz w:val="22"/>
          <w:szCs w:val="22"/>
        </w:rPr>
        <w:t xml:space="preserve">Denial Rate — Niveau de rejet ⚠️ (rouge si &gt; 5%)</w:t>
      </w:r>
    </w:p>
    <w:p>
      <w:pPr>
        <w:pStyle w:val="Heading3"/>
        <w:spacing w:after="120" w:before="240"/>
      </w:pPr>
      <w:r>
        <w:rPr>
          <w:rFonts w:ascii="Arial" w:cs="Arial" w:eastAsia="Arial" w:hAnsi="Arial"/>
          <w:b/>
          <w:bCs/>
          <w:color w:val="1F4E79"/>
          <w:sz w:val="24"/>
          <w:szCs w:val="24"/>
        </w:rPr>
        <w:t xml:space="preserve">Visuels de la page</w:t>
      </w:r>
    </w:p>
    <w:p>
      <w:pPr>
        <w:pStyle w:val="ListParagraph"/>
        <w:numPr>
          <w:ilvl w:val="0"/>
          <w:numId w:val="2"/>
        </w:numPr>
        <w:spacing w:after="60" w:before="60"/>
      </w:pPr>
      <w:r>
        <w:rPr>
          <w:rFonts w:ascii="Arial" w:cs="Arial" w:eastAsia="Arial" w:hAnsi="Arial"/>
          <w:b w:val="false"/>
          <w:bCs w:val="false"/>
          <w:color w:val="404040"/>
          <w:sz w:val="22"/>
          <w:szCs w:val="22"/>
        </w:rPr>
        <w:t xml:space="preserve">Bar chart horizontal : Denial Rate par Payer (4 assureurs)</w:t>
      </w:r>
    </w:p>
    <w:p>
      <w:pPr>
        <w:pStyle w:val="ListParagraph"/>
        <w:numPr>
          <w:ilvl w:val="0"/>
          <w:numId w:val="2"/>
        </w:numPr>
        <w:spacing w:after="60" w:before="60"/>
      </w:pPr>
      <w:r>
        <w:rPr>
          <w:rFonts w:ascii="Arial" w:cs="Arial" w:eastAsia="Arial" w:hAnsi="Arial"/>
          <w:b w:val="false"/>
          <w:bCs w:val="false"/>
          <w:color w:val="404040"/>
          <w:sz w:val="22"/>
          <w:szCs w:val="22"/>
        </w:rPr>
        <w:t xml:space="preserve">Bar chart horizontal : Denial Rate par CPT Grouping (10 groupes)</w:t>
      </w:r>
    </w:p>
    <w:p>
      <w:pPr>
        <w:pStyle w:val="ListParagraph"/>
        <w:numPr>
          <w:ilvl w:val="0"/>
          <w:numId w:val="2"/>
        </w:numPr>
        <w:spacing w:after="60" w:before="60"/>
      </w:pPr>
      <w:r>
        <w:rPr>
          <w:rFonts w:ascii="Arial" w:cs="Arial" w:eastAsia="Arial" w:hAnsi="Arial"/>
          <w:b w:val="false"/>
          <w:bCs w:val="false"/>
          <w:color w:val="404040"/>
          <w:sz w:val="22"/>
          <w:szCs w:val="22"/>
        </w:rPr>
        <w:t xml:space="preserve">Donut chart : Répartition Gross Charge par Payer</w:t>
      </w:r>
    </w:p>
    <w:p>
      <w:pPr>
        <w:pStyle w:val="ListParagraph"/>
        <w:numPr>
          <w:ilvl w:val="0"/>
          <w:numId w:val="2"/>
        </w:numPr>
        <w:spacing w:after="60" w:before="60"/>
      </w:pPr>
      <w:r>
        <w:rPr>
          <w:rFonts w:ascii="Arial" w:cs="Arial" w:eastAsia="Arial" w:hAnsi="Arial"/>
          <w:b w:val="false"/>
          <w:bCs w:val="false"/>
          <w:color w:val="404040"/>
          <w:sz w:val="22"/>
          <w:szCs w:val="22"/>
        </w:rPr>
        <w:t xml:space="preserve">Table : Gross Charge, AR, NCR, Denial Rate par site (LocationName)</w:t>
      </w:r>
    </w:p>
    <w:p>
      <w:pPr>
        <w:pStyle w:val="ListParagraph"/>
        <w:numPr>
          <w:ilvl w:val="0"/>
          <w:numId w:val="2"/>
        </w:numPr>
        <w:spacing w:after="60" w:before="60"/>
      </w:pPr>
      <w:r>
        <w:rPr>
          <w:rFonts w:ascii="Arial" w:cs="Arial" w:eastAsia="Arial" w:hAnsi="Arial"/>
          <w:b w:val="false"/>
          <w:bCs w:val="false"/>
          <w:color w:val="404040"/>
          <w:sz w:val="22"/>
          <w:szCs w:val="22"/>
        </w:rPr>
        <w:t xml:space="preserve">Line chart : Tendance mensuelle Gross Charge (avec annotation sur concentration déc 2019)</w:t>
      </w:r>
    </w:p>
    <w:p>
      <w:pPr>
        <w:pStyle w:val="Heading3"/>
        <w:spacing w:after="120" w:before="240"/>
      </w:pPr>
      <w:r>
        <w:rPr>
          <w:rFonts w:ascii="Arial" w:cs="Arial" w:eastAsia="Arial" w:hAnsi="Arial"/>
          <w:b/>
          <w:bCs/>
          <w:color w:val="1F4E79"/>
          <w:sz w:val="24"/>
          <w:szCs w:val="24"/>
        </w:rPr>
        <w:t xml:space="preserve">Slicers (filtres croisés)</w:t>
      </w:r>
    </w:p>
    <w:p>
      <w:pPr>
        <w:pStyle w:val="ListParagraph"/>
        <w:numPr>
          <w:ilvl w:val="0"/>
          <w:numId w:val="2"/>
        </w:numPr>
        <w:spacing w:after="60" w:before="60"/>
      </w:pPr>
      <w:r>
        <w:rPr>
          <w:rFonts w:ascii="Arial" w:cs="Arial" w:eastAsia="Arial" w:hAnsi="Arial"/>
          <w:b w:val="false"/>
          <w:bCs w:val="false"/>
          <w:color w:val="404040"/>
          <w:sz w:val="22"/>
          <w:szCs w:val="22"/>
        </w:rPr>
        <w:t xml:space="preserve">PayerName · LocationName · MonthYear</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10.3 Bonnes pratiques visuelles Power BI</w:t>
      </w:r>
    </w:p>
    <w:p>
      <w:pPr>
        <w:pStyle w:val="ListParagraph"/>
        <w:numPr>
          <w:ilvl w:val="0"/>
          <w:numId w:val="2"/>
        </w:numPr>
        <w:spacing w:after="60" w:before="60"/>
      </w:pPr>
      <w:r>
        <w:rPr>
          <w:rFonts w:ascii="Arial" w:cs="Arial" w:eastAsia="Arial" w:hAnsi="Arial"/>
          <w:b w:val="false"/>
          <w:bCs w:val="false"/>
          <w:color w:val="404040"/>
          <w:sz w:val="22"/>
          <w:szCs w:val="22"/>
        </w:rPr>
        <w:t xml:space="preserve">Toujours afficher la mesure Denial Rate ALL en parallèle du Denial Rate filtré — donne le contexte global même sous filtre.</w:t>
      </w:r>
    </w:p>
    <w:p>
      <w:pPr>
        <w:pStyle w:val="ListParagraph"/>
        <w:numPr>
          <w:ilvl w:val="0"/>
          <w:numId w:val="2"/>
        </w:numPr>
        <w:spacing w:after="60" w:before="60"/>
      </w:pPr>
      <w:r>
        <w:rPr>
          <w:rFonts w:ascii="Arial" w:cs="Arial" w:eastAsia="Arial" w:hAnsi="Arial"/>
          <w:b w:val="false"/>
          <w:bCs w:val="false"/>
          <w:color w:val="404040"/>
          <w:sz w:val="22"/>
          <w:szCs w:val="22"/>
        </w:rPr>
        <w:t xml:space="preserve">Utiliser la granularité CptGrouping (10 groupes) en page executive — pas les 1 256 codes individuels.</w:t>
      </w:r>
    </w:p>
    <w:p>
      <w:pPr>
        <w:pStyle w:val="ListParagraph"/>
        <w:numPr>
          <w:ilvl w:val="0"/>
          <w:numId w:val="2"/>
        </w:numPr>
        <w:spacing w:after="60" w:before="60"/>
      </w:pPr>
      <w:r>
        <w:rPr>
          <w:rFonts w:ascii="Arial" w:cs="Arial" w:eastAsia="Arial" w:hAnsi="Arial"/>
          <w:b w:val="false"/>
          <w:bCs w:val="false"/>
          <w:color w:val="404040"/>
          <w:sz w:val="22"/>
          <w:szCs w:val="22"/>
        </w:rPr>
        <w:t xml:space="preserve">Documenter les anomalies directement dans le dashboard (annotation ou info-bulle) — un dashboard professionnel documente ses propres limites.</w:t>
      </w:r>
    </w:p>
    <w:p>
      <w:pPr>
        <w:pStyle w:val="ListParagraph"/>
        <w:numPr>
          <w:ilvl w:val="0"/>
          <w:numId w:val="2"/>
        </w:numPr>
        <w:spacing w:after="60" w:before="60"/>
      </w:pPr>
      <w:r>
        <w:rPr>
          <w:rFonts w:ascii="Arial" w:cs="Arial" w:eastAsia="Arial" w:hAnsi="Arial"/>
          <w:b w:val="false"/>
          <w:bCs w:val="false"/>
          <w:color w:val="404040"/>
          <w:sz w:val="22"/>
          <w:szCs w:val="22"/>
        </w:rPr>
        <w:t xml:space="preserve">Drill-through vers la page Physician depuis la page Denial : clic droit sur une spécialité → voir les médecins de cette spécialité.</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ÉTAPE 11 — Insights Décisionnels et Recommandations</w:t>
      </w:r>
    </w:p>
    <w:p>
      <w:pPr>
        <w:pStyle w:val="Heading2"/>
        <w:pBdr>
          <w:bottom w:val="single" w:color="2E75B6" w:sz="6"/>
        </w:pBdr>
        <w:spacing w:after="160" w:before="320"/>
      </w:pPr>
      <w:r>
        <w:rPr>
          <w:rFonts w:ascii="Arial" w:cs="Arial" w:eastAsia="Arial" w:hAnsi="Arial"/>
          <w:b/>
          <w:bCs/>
          <w:color w:val="2E75B6"/>
          <w:sz w:val="28"/>
          <w:szCs w:val="28"/>
        </w:rPr>
        <w:t xml:space="preserve">11.1 Les 5 insights clés</w:t>
      </w:r>
    </w:p>
    <w:p>
      <w:pPr>
        <w:pStyle w:val="Heading3"/>
        <w:spacing w:after="120" w:before="240"/>
      </w:pPr>
      <w:r>
        <w:rPr>
          <w:rFonts w:ascii="Arial" w:cs="Arial" w:eastAsia="Arial" w:hAnsi="Arial"/>
          <w:b/>
          <w:bCs/>
          <w:color w:val="1F4E79"/>
          <w:sz w:val="24"/>
          <w:szCs w:val="24"/>
        </w:rPr>
        <w:t xml:space="preserve">Insight 1 — Le modèle financier est sain mais fragile</w:t>
      </w:r>
    </w:p>
    <w:p>
      <w:pPr>
        <w:spacing w:after="80" w:before="80"/>
        <w:jc w:val="left"/>
      </w:pPr>
      <w:r>
        <w:rPr>
          <w:rFonts w:ascii="Arial" w:cs="Arial" w:eastAsia="Arial" w:hAnsi="Arial"/>
          <w:color w:val="404040"/>
          <w:sz w:val="22"/>
          <w:szCs w:val="22"/>
        </w:rPr>
        <w:t xml:space="preserve">NCR 93% et AR 3.5% du brut = organisation qui sait recouvrer. Mais Denial Rate 21% = 1 acte sur 5 bloqué avant recouvrement. Réduire ce taux de moitié = +$150K de revenus sans acte médical supplémentaire.</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Insight 2 — Le problème est systémique, pas individuel</w:t>
      </w:r>
    </w:p>
    <w:p>
      <w:pPr>
        <w:spacing w:after="80" w:before="80"/>
        <w:jc w:val="left"/>
      </w:pPr>
      <w:r>
        <w:rPr>
          <w:rFonts w:ascii="Arial" w:cs="Arial" w:eastAsia="Arial" w:hAnsi="Arial"/>
          <w:color w:val="404040"/>
          <w:sz w:val="22"/>
          <w:szCs w:val="22"/>
        </w:rPr>
        <w:t xml:space="preserve">Toutes les spécialités, tous les sites, tous les assureurs dépassent le benchmark de 5%. Ce n'est pas un problème de quelques médecins — c'est un problème de processus de facturation global. Cause probable : formation insuffisante aux règles CMS, absence de validation pré-soumission.</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Insight 3 — Le paradoxe Medicare</w:t>
      </w:r>
    </w:p>
    <w:p>
      <w:pPr>
        <w:spacing w:after="80" w:before="80"/>
        <w:jc w:val="left"/>
      </w:pPr>
      <w:r>
        <w:rPr>
          <w:rFonts w:ascii="Arial" w:cs="Arial" w:eastAsia="Arial" w:hAnsi="Arial"/>
          <w:color w:val="404040"/>
          <w:sz w:val="22"/>
          <w:szCs w:val="22"/>
        </w:rPr>
        <w:t xml:space="preserve">Medicare = meilleur NCR (95.3%) + deuxième pire Denial Rate (30.5%). Cela signifie que Medicare paie rapidement et intégralement ce qu'il accepte. Mais il rejette 1 acte sur 3. Chaque rejet Medicare = perte sèche sur l'assureur le plus fiable. C'est là que l'amélioration de codification a l'impact le plus immédiat.</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Insight 4 — Angelstone concentre le risque</w:t>
      </w:r>
    </w:p>
    <w:p>
      <w:pPr>
        <w:spacing w:after="80" w:before="80"/>
        <w:jc w:val="left"/>
      </w:pPr>
      <w:r>
        <w:rPr>
          <w:rFonts w:ascii="Arial" w:cs="Arial" w:eastAsia="Arial" w:hAnsi="Arial"/>
          <w:color w:val="404040"/>
          <w:sz w:val="22"/>
          <w:szCs w:val="22"/>
        </w:rPr>
        <w:t xml:space="preserve">Un seul site représente 44% des charges ($653K) avec le Denial Rate hospitalier le plus élevé (49.1%). C'est à la fois le plus grand contributeur de revenus et le plus grand contributeur de rejets. Premier site à auditer.</w:t>
      </w:r>
    </w:p>
    <w:p>
      <w:pPr>
        <w:spacing w:after="40" w:before="40"/>
      </w:pPr>
      <w:r>
        <w:t xml:space="preserve"/>
      </w:r>
    </w:p>
    <w:p>
      <w:pPr>
        <w:pStyle w:val="Heading3"/>
        <w:spacing w:after="120" w:before="240"/>
      </w:pPr>
      <w:r>
        <w:rPr>
          <w:rFonts w:ascii="Arial" w:cs="Arial" w:eastAsia="Arial" w:hAnsi="Arial"/>
          <w:b/>
          <w:bCs/>
          <w:color w:val="1F4E79"/>
          <w:sz w:val="24"/>
          <w:szCs w:val="24"/>
        </w:rPr>
        <w:t xml:space="preserve">Insight 5 — NP et PA sont le levier humain le plus rapide</w:t>
      </w:r>
    </w:p>
    <w:p>
      <w:pPr>
        <w:spacing w:after="80" w:before="80"/>
        <w:jc w:val="left"/>
      </w:pPr>
      <w:r>
        <w:rPr>
          <w:rFonts w:ascii="Arial" w:cs="Arial" w:eastAsia="Arial" w:hAnsi="Arial"/>
          <w:color w:val="404040"/>
          <w:sz w:val="22"/>
          <w:szCs w:val="22"/>
        </w:rPr>
        <w:t xml:space="preserve">Nurse Practitioners (35%) et Physician Assistants (45%) de Denial Rate — 173 praticiens. Ces profils ont historiquement moins d'accès aux formations de codification CMS que les médecins titulaires. Une formation ciblée de 2 jours peut réduire leur taux de 30 à 50%.</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11.2 Plan d'action en 3 horizons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c>
          <w:tcPr>
            <w:tcW w:type="dxa" w:w="1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Horizon</w:t>
            </w:r>
          </w:p>
        </w:tc>
        <w:tc>
          <w:tcPr>
            <w:tcW w:type="dxa" w:w="1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Période</w:t>
            </w:r>
          </w:p>
        </w:tc>
        <w:tc>
          <w:tcPr>
            <w:tcW w:type="dxa" w:w="3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Action</w:t>
            </w:r>
          </w:p>
        </w:tc>
        <w:tc>
          <w:tcPr>
            <w:tcW w:type="dxa" w:w="31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KPI cible</w:t>
            </w:r>
          </w:p>
        </w:tc>
      </w:tr>
      <w:tr>
        <w:tc>
          <w:tcPr>
            <w:tcW w:type="dxa" w:w="160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Court terme</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0-30 jours</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Audit des actes hospitaliers et chirurgicaux rejetés par Medicare et Medicaid chez Angelstone. Identifier les 5-10 erreurs de codification les plus fréquentes.</w:t>
            </w:r>
          </w:p>
        </w:tc>
        <w:tc>
          <w:tcPr>
            <w:tcW w:type="dxa" w:w="3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Denial Rate Angelstone &lt; 30%</w:t>
            </w:r>
          </w:p>
        </w:tc>
      </w:tr>
      <w:tr>
        <w:tc>
          <w:tcPr>
            <w:tcW w:type="dxa" w:w="16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Moyen terme</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30-90 jours</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Formation CMS pour NP et PA (173 praticiens). Workflow de validation pré-soumission pour Hospital et Surgery.</w:t>
            </w:r>
          </w:p>
        </w:tc>
        <w:tc>
          <w:tcPr>
            <w:tcW w:type="dxa" w:w="3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Denial Rate NP/PA &lt; 20%</w:t>
            </w:r>
          </w:p>
        </w:tc>
      </w:tr>
      <w:tr>
        <w:tc>
          <w:tcPr>
            <w:tcW w:type="dxa" w:w="1600"/>
            <w:tcBorders>
              <w:top w:val="single" w:color="CCCCCC" w:sz="6"/>
              <w:left w:val="single" w:color="CCCCCC" w:sz="6"/>
              <w:bottom w:val="single" w:color="CCCCCC" w:sz="6"/>
              <w:right w:val="single" w:color="CCCCCC" w:sz="6"/>
            </w:tcBorders>
            <w:shd w:fill="E2F0D9"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Long terme</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90 jours+</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Dashboard de suivi mensuel Denial Rate par médecin / CPT / Payer. Objectifs trimestriels. Négociation contractuelle avec Commercial.</w:t>
            </w:r>
          </w:p>
        </w:tc>
        <w:tc>
          <w:tcPr>
            <w:tcW w:type="dxa" w:w="3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Denial Rate global &lt; 10% à 12 mois</w:t>
            </w:r>
          </w:p>
        </w:tc>
      </w:tr>
    </w:tbl>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ÉTAPE 12 — Raisonnements Clés et Bonnes Pratiques</w:t>
      </w:r>
    </w:p>
    <w:p>
      <w:pPr>
        <w:pStyle w:val="Heading2"/>
        <w:pBdr>
          <w:bottom w:val="single" w:color="2E75B6" w:sz="6"/>
        </w:pBdr>
        <w:spacing w:after="160" w:before="320"/>
      </w:pPr>
      <w:r>
        <w:rPr>
          <w:rFonts w:ascii="Arial" w:cs="Arial" w:eastAsia="Arial" w:hAnsi="Arial"/>
          <w:b/>
          <w:bCs/>
          <w:color w:val="2E75B6"/>
          <w:sz w:val="28"/>
          <w:szCs w:val="28"/>
        </w:rPr>
        <w:t xml:space="preserve">12.1 Distinctions conceptuelles fondamentales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Concept</w:t>
            </w:r>
          </w:p>
        </w:tc>
        <w:tc>
          <w:tcPr>
            <w:tcW w:type="dxa" w:w="63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Raisonnement à retenir</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Valeur analytique ≠ opérationnelle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CptCode n'apparaît dans aucun graphique mais est indispensable pour la réconciliation billing et l'audit assureur. Ne jamais supprimer une colonne sans avoir vérifié sa valeur opérationnelle.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BLANK() ≠ 0 en DAX</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BLANK() exclut la ligne du visuel. 0 l'affiche. Pour le Denial Rate, BLANK() évite d'afficher les médecins sans charges qui pollueraient l'analyse.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USERELATIONSHIP active, ne crée pas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La relation inactive doit exister dans le modèle avant d'écrire USERELATIONSHIP() en DAX. Sans relation dans le modèle, l'erreur "colonne introuvable" est retournée même si la colonne existe.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Denial Rate &gt; 100% = limite temporelle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Pas une erreur de formule. Les rejets d'un médecin peuvent porter sur des charges d'une période antérieure au dataset. Solution : filtrer sur volume minimum et période glissante cohérente.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Identifiant = toujours type Text</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Un code CPT, un NPI, un code postal reste Text même composé uniquement de chiffres. Convertir en Integer : détruit les zéros en tête, casse les codes alphanumériques (HCPCS, CPT Cat II), crée des jointures silencieusement cassées.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NCR élevé ≠ tout va bien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Un NCR de 93% mesure l'efficacité sur les actes acceptés. Il ne mesure pas ce qui est rejeté avant d'entrer dans le processus de recouvrement. Un Denial Rate de 21% coexiste parfaitement avec un NCR de 93%.</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SUM(AR) vs recalcul DAX</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AR = GrossCharge + Payment + Adjustment (avec signes). La colonne AR est précalculée ligne par ligne dans la FactTable. Utiliser SUM(AR) directement plutôt que de recombiner trois mesures avec trois contextes de filtre différents.</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12.2 Les règles d'or du projet</w:t>
      </w:r>
    </w:p>
    <w:p>
      <w:pPr>
        <w:pStyle w:val="ListParagraph"/>
        <w:numPr>
          <w:ilvl w:val="0"/>
          <w:numId w:val="2"/>
        </w:numPr>
        <w:spacing w:after="60" w:before="60"/>
      </w:pPr>
      <w:r>
        <w:rPr>
          <w:rFonts w:ascii="Arial" w:cs="Arial" w:eastAsia="Arial" w:hAnsi="Arial"/>
          <w:b w:val="false"/>
          <w:bCs w:val="false"/>
          <w:color w:val="404040"/>
          <w:sz w:val="22"/>
          <w:szCs w:val="22"/>
        </w:rPr>
        <w:t xml:space="preserve">Ne transforme que ce qui impacte la qualité ou la performance — justification métier ou technique exigée pour chaque transformation Power Query.</w:t>
      </w:r>
    </w:p>
    <w:p>
      <w:pPr>
        <w:pStyle w:val="ListParagraph"/>
        <w:numPr>
          <w:ilvl w:val="0"/>
          <w:numId w:val="2"/>
        </w:numPr>
        <w:spacing w:after="60" w:before="60"/>
      </w:pPr>
      <w:r>
        <w:rPr>
          <w:rFonts w:ascii="Arial" w:cs="Arial" w:eastAsia="Arial" w:hAnsi="Arial"/>
          <w:b w:val="false"/>
          <w:bCs w:val="false"/>
          <w:color w:val="404040"/>
          <w:sz w:val="22"/>
          <w:szCs w:val="22"/>
        </w:rPr>
        <w:t xml:space="preserve">En Power Query : (1) supprimer, (2) corriger les types, (3) ajouter des colonnes calculées — dans cet ordre uniquement.</w:t>
      </w:r>
    </w:p>
    <w:p>
      <w:pPr>
        <w:pStyle w:val="ListParagraph"/>
        <w:numPr>
          <w:ilvl w:val="0"/>
          <w:numId w:val="2"/>
        </w:numPr>
        <w:spacing w:after="60" w:before="60"/>
      </w:pPr>
      <w:r>
        <w:rPr>
          <w:rFonts w:ascii="Arial" w:cs="Arial" w:eastAsia="Arial" w:hAnsi="Arial"/>
          <w:b w:val="false"/>
          <w:bCs w:val="false"/>
          <w:color w:val="404040"/>
          <w:sz w:val="22"/>
          <w:szCs w:val="22"/>
        </w:rPr>
        <w:t xml:space="preserve">Créer toutes les relations manuellement dans la vue Modèle — ne jamais laisser Power BI les détecter automatiquement.</w:t>
      </w:r>
    </w:p>
    <w:p>
      <w:pPr>
        <w:pStyle w:val="ListParagraph"/>
        <w:numPr>
          <w:ilvl w:val="0"/>
          <w:numId w:val="2"/>
        </w:numPr>
        <w:spacing w:after="60" w:before="60"/>
      </w:pPr>
      <w:r>
        <w:rPr>
          <w:rFonts w:ascii="Arial" w:cs="Arial" w:eastAsia="Arial" w:hAnsi="Arial"/>
          <w:b w:val="false"/>
          <w:bCs w:val="false"/>
          <w:color w:val="404040"/>
          <w:sz w:val="22"/>
          <w:szCs w:val="22"/>
        </w:rPr>
        <w:t xml:space="preserve">Marquer DimDate comme "Date Table" avant toute mesure Time Intelligence.</w:t>
      </w:r>
    </w:p>
    <w:p>
      <w:pPr>
        <w:pStyle w:val="ListParagraph"/>
        <w:numPr>
          <w:ilvl w:val="0"/>
          <w:numId w:val="2"/>
        </w:numPr>
        <w:spacing w:after="60" w:before="60"/>
      </w:pPr>
      <w:r>
        <w:rPr>
          <w:rFonts w:ascii="Arial" w:cs="Arial" w:eastAsia="Arial" w:hAnsi="Arial"/>
          <w:b w:val="false"/>
          <w:bCs w:val="false"/>
          <w:color w:val="404040"/>
          <w:sz w:val="22"/>
          <w:szCs w:val="22"/>
        </w:rPr>
        <w:t xml:space="preserve">Utiliser DIVIDE(num, denom, BLANK()) pour tous les ratios — jamais l'opérateur /.</w:t>
      </w:r>
    </w:p>
    <w:p>
      <w:pPr>
        <w:pStyle w:val="ListParagraph"/>
        <w:numPr>
          <w:ilvl w:val="0"/>
          <w:numId w:val="2"/>
        </w:numPr>
        <w:spacing w:after="60" w:before="60"/>
      </w:pPr>
      <w:r>
        <w:rPr>
          <w:rFonts w:ascii="Arial" w:cs="Arial" w:eastAsia="Arial" w:hAnsi="Arial"/>
          <w:b w:val="false"/>
          <w:bCs w:val="false"/>
          <w:color w:val="404040"/>
          <w:sz w:val="22"/>
          <w:szCs w:val="22"/>
        </w:rPr>
        <w:t xml:space="preserve">Toujours filtrer sur TransactionType dans les mesures financières de ce dataset.</w:t>
      </w:r>
    </w:p>
    <w:p>
      <w:pPr>
        <w:pStyle w:val="ListParagraph"/>
        <w:numPr>
          <w:ilvl w:val="0"/>
          <w:numId w:val="2"/>
        </w:numPr>
        <w:spacing w:after="60" w:before="60"/>
      </w:pPr>
      <w:r>
        <w:rPr>
          <w:rFonts w:ascii="Arial" w:cs="Arial" w:eastAsia="Arial" w:hAnsi="Arial"/>
          <w:b w:val="false"/>
          <w:bCs w:val="false"/>
          <w:color w:val="404040"/>
          <w:sz w:val="22"/>
          <w:szCs w:val="22"/>
        </w:rPr>
        <w:t xml:space="preserve">Un résultat sans erreur n'est pas nécessairement un résultat utile — toujours valider analytiquement.</w:t>
      </w:r>
    </w:p>
    <w:p>
      <w:pPr>
        <w:pStyle w:val="ListParagraph"/>
        <w:numPr>
          <w:ilvl w:val="0"/>
          <w:numId w:val="2"/>
        </w:numPr>
        <w:spacing w:after="60" w:before="60"/>
      </w:pPr>
      <w:r>
        <w:rPr>
          <w:rFonts w:ascii="Arial" w:cs="Arial" w:eastAsia="Arial" w:hAnsi="Arial"/>
          <w:b w:val="false"/>
          <w:bCs w:val="false"/>
          <w:color w:val="404040"/>
          <w:sz w:val="22"/>
          <w:szCs w:val="22"/>
        </w:rPr>
        <w:t xml:space="preserve">Documenter les limites du dataset directement dans le dashboard.</w:t>
      </w:r>
    </w:p>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12.3 Réponse executive type</w:t>
      </w:r>
    </w:p>
    <w:p>
      <w:pPr>
        <w:spacing w:after="80" w:before="80"/>
        <w:jc w:val="left"/>
      </w:pPr>
      <w:r>
        <w:rPr>
          <w:rFonts w:ascii="Arial" w:cs="Arial" w:eastAsia="Arial" w:hAnsi="Arial"/>
          <w:color w:val="404040"/>
          <w:sz w:val="22"/>
          <w:szCs w:val="22"/>
        </w:rPr>
        <w:t xml:space="preserve">La formulation suivante illustre comment transformer une analyse en conviction décisionnelle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FF3F8" w:val="clear"/>
            <w:tcMar>
              <w:top w:type="dxa" w:w="160"/>
              <w:left w:type="dxa" w:w="240"/>
              <w:bottom w:type="dxa" w:w="160"/>
              <w:right w:type="dxa" w:w="240"/>
            </w:tcMar>
          </w:tcPr>
          <w:p>
            <w:pPr>
              <w:spacing w:after="80" w:before="80"/>
            </w:pPr>
            <w:r>
              <w:rPr>
                <w:rFonts w:ascii="Arial" w:cs="Arial" w:eastAsia="Arial" w:hAnsi="Arial"/>
                <w:color w:val="1F4E79"/>
                <w:sz w:val="22"/>
                <w:szCs w:val="22"/>
              </w:rPr>
              <w:t xml:space="preserve">"Notre 93% de Net Collection Rate mesure notre efficacité sur les actes que les assureurs acceptent. Il ne mesure pas les $309K de revenus potentiels bloqués par 3 063 rejets. C'est comme mesurer le rendement d'une usine uniquement sur les pièces qui passent le contrôle qualité — sans compter les pièces rejetées à l'entrée."</w:t>
            </w:r>
          </w:p>
        </w:tc>
      </w:tr>
    </w:tbl>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RÉFÉRENCE RAPIDE — Toutes les Mesures DAX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600"/>
        <w:gridCol w:w="1600"/>
        <w:gridCol w:w="1360"/>
      </w:tblGrid>
      <w:tr>
        <w:tc>
          <w:tcPr>
            <w:tcW w:type="dxa" w:w="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w:t>
            </w:r>
          </w:p>
        </w:tc>
        <w:tc>
          <w:tcPr>
            <w:tcW w:type="dxa" w:w="2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Mesure</w:t>
            </w:r>
          </w:p>
        </w:tc>
        <w:tc>
          <w:tcPr>
            <w:tcW w:type="dxa" w:w="3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Formule DAX simplifiée</w:t>
            </w:r>
          </w:p>
        </w:tc>
        <w:tc>
          <w:tcPr>
            <w:tcW w:type="dxa" w:w="1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Valeur dataset</w:t>
            </w:r>
          </w:p>
        </w:tc>
        <w:tc>
          <w:tcPr>
            <w:tcW w:type="dxa" w:w="13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Usage</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Gross Charge</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CALCULATE(SUM(GrossCharge), Type="Charge")</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$1.47M</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KPI card</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Total Payment</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CALCULATE(ABS(SUM(Payment)), Type="Payment")</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$703K</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KPI card</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Total Adjustment</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CALCULATE(ABS(SUM(Adjustment)), Type="Adjustment")</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$717K</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KPI card</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4</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AR Outstanding</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SUM(FactTable[AR])</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$51.9K</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KPI card</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5</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Patient Count</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DISTINCTCOUNT(dimPatientPK)</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5 117</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Analyse</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6</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Charge Count</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CALCULATE(COUNTROWS, Type="Charge")</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14 544</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Dénominateur</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7</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Net Collection Rate</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DIVIDE(Payment, GrossCharge-Adjustment, 0)</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93.2%</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KPI ratio</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8</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Adjustment Rate</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DIVIDE(Adjustment, GrossCharge, 0)</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56.24%</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KPI ratio</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9</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AR Rate</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DIVIDE(AR, GrossCharge, 0)</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3.53%</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KPI ratio</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10</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Denial Rate (robuste)</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VAR + IF(ChargeCount=0, BLANK(), DIVIDE(...))</w:t>
            </w:r>
          </w:p>
        </w:tc>
        <w:tc>
          <w:tcPr>
            <w:tcW w:type="dxa" w:w="1600"/>
            <w:tcBorders>
              <w:top w:val="single" w:color="CCCCCC" w:sz="6"/>
              <w:left w:val="single" w:color="CCCCCC" w:sz="6"/>
              <w:bottom w:val="single" w:color="CCCCCC" w:sz="6"/>
              <w:right w:val="single" w:color="CCCCCC" w:sz="6"/>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21.06%</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 KPI alerte</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11</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Avg Charge/Transaction</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DIVIDE(GrossCharge, ChargeCount, 0)</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$101.23</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Productivité</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12</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Revenue per Patient</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DIVIDE(GrossCharge, PatientCount, 0)</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$287.72</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Cohorte</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13</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Gross Charge by Service Date</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CALCULATE(GrossCharge, USERELATIONSHIP(...))</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$1.47M*</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Relation inactive</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14</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Denial Rate ALL</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CALCULATE(DenialRate, ALL(Location), ALL(Physician),...)</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21.06%</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Contexte global</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15</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Gross Charge YTD</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CALCULATE(GrossCharge, DATESYTD(Date))</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Voir note*</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Time Intel.</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16</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Gross Charge MTD</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TOTALMTD(GrossCharge, Date)</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Voir note*</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Time Intel.</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17</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MoM Variance %</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DIVIDE(GrossCharge-PrevMonth, PrevMonth, BLANK())</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Voir note*</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Time Intel.</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18</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One-time Patient Rate</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DIVIDE(CALCULATE(PatientCount, Segment="One-time"), PatientCount)</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36.5%</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Cohorte</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19</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Cohort AR Outstanding</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SUM(AR) — filtré par contexte de cohorte</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Variable</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Cohorte</w:t>
            </w:r>
          </w:p>
        </w:tc>
      </w:tr>
    </w:tbl>
    <w:p>
      <w:pPr>
        <w:spacing w:after="40" w:before="40"/>
      </w:pPr>
      <w:r>
        <w:t xml:space="preserve"/>
      </w:r>
    </w:p>
    <w:p>
      <w:pPr>
        <w:spacing w:after="80" w:before="80"/>
        <w:jc w:val="left"/>
      </w:pPr>
      <w:r>
        <w:rPr>
          <w:rFonts w:ascii="Arial" w:cs="Arial" w:eastAsia="Arial" w:hAnsi="Arial"/>
          <w:color w:val="404040"/>
          <w:sz w:val="22"/>
          <w:szCs w:val="22"/>
        </w:rPr>
        <w:t xml:space="preserve">* YTD, MTD, MoM fonctionneront pleinement sur un dataset couvrant des années complètes. Sur ce dataset, 92% des charges sont en déc 2019 et SAMEPERIODLASTYEAR retourne BLANK() car déc 2018 est absent.</w:t>
      </w:r>
    </w:p>
    <w:p>
      <w:pPr>
        <w:spacing w:after="0" w:before="0"/>
      </w:pPr>
      <w:r>
        <w:br w:type="page"/>
      </w:r>
    </w:p>
    <w:p>
      <w:pPr>
        <w:pStyle w:val="Heading1"/>
        <w:shd w:fill="1F4E79" w:val="clear"/>
        <w:spacing w:after="200" w:before="360"/>
        <w:ind w:left="200" w:right="200"/>
      </w:pPr>
      <w:r>
        <w:rPr>
          <w:rFonts w:ascii="Arial" w:cs="Arial" w:eastAsia="Arial" w:hAnsi="Arial"/>
          <w:b/>
          <w:bCs/>
          <w:color w:val="FFFFFF"/>
          <w:sz w:val="36"/>
          <w:szCs w:val="36"/>
        </w:rPr>
        <w:t xml:space="preserve">VALORISATION DE PORTFOLIO</w:t>
      </w:r>
    </w:p>
    <w:p>
      <w:pPr>
        <w:pStyle w:val="Heading2"/>
        <w:pBdr>
          <w:bottom w:val="single" w:color="2E75B6" w:sz="6"/>
        </w:pBdr>
        <w:spacing w:after="160" w:before="320"/>
      </w:pPr>
      <w:r>
        <w:rPr>
          <w:rFonts w:ascii="Arial" w:cs="Arial" w:eastAsia="Arial" w:hAnsi="Arial"/>
          <w:b/>
          <w:bCs/>
          <w:color w:val="2E75B6"/>
          <w:sz w:val="28"/>
          <w:szCs w:val="28"/>
        </w:rPr>
        <w:t xml:space="preserve">14.1 Ce que ce projet démontre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Compétence</w:t>
            </w:r>
          </w:p>
        </w:tc>
        <w:tc>
          <w:tcPr>
            <w:tcW w:type="dxa" w:w="63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Preuve dans ce projet</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Compréhension métier</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Maîtrise du cycle RCM hospitalier, lecture des conventions comptables (négatifs), interprétation des paradoxes (NCR vs Denial Rate).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Audit qualité</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Détection des 3 anomalies critiques (dimDateServicePK, doublons ICD, NPI dupliqué) sur 84 219 lignes avant toute modélisation.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Power Query (M)</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7 transformations justifiées métier + technique, gestion des types, colonnes calculées AgeGroup / FTE_Category / IsReversal.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Modélisation (schéma étoile)</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9 relations 1-to-many configurées manuellement, relation inactive correctement gérée, direction de filtre Single systématique.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DAX avancé</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19 mesures : CALCULATE, DIVIDE, BLANK(), VAR, USERELATIONSHIP, DISTINCTCOUNT, Time Intelligence (YTD/MTD/MoM/SPLY).</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RLS (sécurité)</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Architecture 3 rôles (Executive/SiteManager/Physician), USERPRINCIPALNAME(), SecurityTable, test et déploiement Azure AD.</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Analyse de cohortes</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4 segments : AgeGroup, Visit Frequency (RFM), DiagnosisCodeGroup, profil à risque de non-recouvrement.</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Data Storytelling</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Formulation executive, plan d'action 3 horizons, insights actionnables, distinction constat/analyse/recommandation.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Gouvernance BI</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Documentation des limites du dataset, mesures de contexte permanent, règles de qualité des données, cycle de vie production.</w:t>
            </w:r>
          </w:p>
        </w:tc>
      </w:tr>
    </w:tbl>
    <w:p>
      <w:pPr>
        <w:spacing w:after="40" w:before="40"/>
      </w:pPr>
      <w:r>
        <w:t xml:space="preserve"/>
      </w:r>
    </w:p>
    <w:p>
      <w:pPr>
        <w:pStyle w:val="Heading2"/>
        <w:pBdr>
          <w:bottom w:val="single" w:color="2E75B6" w:sz="6"/>
        </w:pBdr>
        <w:spacing w:after="160" w:before="320"/>
      </w:pPr>
      <w:r>
        <w:rPr>
          <w:rFonts w:ascii="Arial" w:cs="Arial" w:eastAsia="Arial" w:hAnsi="Arial"/>
          <w:b/>
          <w:bCs/>
          <w:color w:val="2E75B6"/>
          <w:sz w:val="28"/>
          <w:szCs w:val="28"/>
        </w:rPr>
        <w:t xml:space="preserve">14.2 Prochaines étapes pour approfondir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Sujet</w:t>
            </w:r>
          </w:p>
        </w:tc>
        <w:tc>
          <w:tcPr>
            <w:tcW w:type="dxa" w:w="45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Contenu</w:t>
            </w:r>
          </w:p>
        </w:tc>
        <w:tc>
          <w:tcPr>
            <w:tcW w:type="dxa" w:w="23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Valeur ajoutée portfolio</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Time Intelligence avancée</w:t>
            </w:r>
          </w:p>
        </w:tc>
        <w:tc>
          <w:tcPr>
            <w:tcW w:type="dxa" w:w="4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TOTALYTD, SAMEPERIODLASTYEAR sur dataset multi-années complet. Fiscal year personnalisé.</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Finance, reporting mensuel</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Détection d'anomalies DAX</w:t>
            </w:r>
          </w:p>
        </w:tc>
        <w:tc>
          <w:tcPr>
            <w:tcW w:type="dxa" w:w="4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Identifier automatiquement les médecins/sites qui dévient statistiquement de la norme (écart-type, percentiles).</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Analytique avancée</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Pipeline ETL Python/SQL</w:t>
            </w:r>
          </w:p>
        </w:tc>
        <w:tc>
          <w:tcPr>
            <w:tcW w:type="dxa" w:w="4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Automatiser l'alimentation du modèle Power BI depuis un système source. Transformer le dashboard statique en système temps réel.</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Architecture data</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Power BI Aggregations</w:t>
            </w:r>
          </w:p>
        </w:tc>
        <w:tc>
          <w:tcPr>
            <w:tcW w:type="dxa" w:w="4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Pré-calculer les agrégations pour les datasets &gt; 1M lignes. Gain de performance 10× à 100×.</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Performance production</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404040"/>
                <w:sz w:val="20"/>
                <w:szCs w:val="20"/>
              </w:rPr>
              <w:t xml:space="preserve">Présentation executive</w:t>
            </w:r>
          </w:p>
        </w:tc>
        <w:tc>
          <w:tcPr>
            <w:tcW w:type="dxa" w:w="4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Document de synthèse 2 pages (profil médical + profil financier) avec recommandations chiffrées et actions priorisées.</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404040"/>
                <w:sz w:val="20"/>
                <w:szCs w:val="20"/>
              </w:rPr>
              <w:t xml:space="preserve">Communication décisionnelle</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0"/>
              <w:left w:val="single" w:color="1F4E79" w:sz="10"/>
              <w:bottom w:val="single" w:color="1F4E79" w:sz="10"/>
              <w:right w:val="single" w:color="1F4E79" w:sz="10"/>
            </w:tcBorders>
            <w:shd w:fill="D5E8F0" w:val="clear"/>
            <w:tcMar>
              <w:top w:type="dxa" w:w="160"/>
              <w:left w:type="dxa" w:w="240"/>
              <w:bottom w:type="dxa" w:w="160"/>
              <w:right w:type="dxa" w:w="240"/>
            </w:tcMar>
          </w:tcPr>
          <w:p>
            <w:pPr>
              <w:spacing w:after="80" w:before="80"/>
            </w:pPr>
            <w:r>
              <w:rPr>
                <w:rFonts w:ascii="Arial" w:cs="Arial" w:eastAsia="Arial" w:hAnsi="Arial"/>
                <w:b/>
                <w:bCs/>
                <w:color w:val="1F4E79"/>
                <w:sz w:val="24"/>
                <w:szCs w:val="24"/>
              </w:rPr>
              <w:t xml:space="preserve">Principe final</w:t>
            </w:r>
          </w:p>
          <w:p>
            <w:pPr>
              <w:spacing w:after="80" w:before="80"/>
            </w:pPr>
            <w:r>
              <w:rPr>
                <w:rFonts w:ascii="Arial" w:cs="Arial" w:eastAsia="Arial" w:hAnsi="Arial"/>
                <w:color w:val="404040"/>
                <w:sz w:val="22"/>
                <w:szCs w:val="22"/>
              </w:rPr>
              <w:t xml:space="preserve">La BI n'est pas un outil de reporting — c'est un outil de décision. Un dashboard qui ne génère pas d'action concrète dans les 30 jours suivant sa livraison est un dashboard qui a échoué, quelle que soit sa beauté technique.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after="0" w:before="120"/>
    </w:pPr>
    <w:r>
      <w:rPr>
        <w:rFonts w:ascii="Arial" w:cs="Arial" w:eastAsia="Arial" w:hAnsi="Arial"/>
        <w:color w:val="595959"/>
        <w:sz w:val="16"/>
        <w:szCs w:val="16"/>
      </w:rPr>
      <w:t xml:space="preserve">Guide de référence BI | Portfolio Power BI | RCM Hospitalier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20" w:before="0"/>
    </w:pPr>
    <w:r>
      <w:rPr>
        <w:rFonts w:ascii="Arial" w:cs="Arial" w:eastAsia="Arial" w:hAnsi="Arial"/>
        <w:color w:val="595959"/>
        <w:sz w:val="18"/>
        <w:szCs w:val="18"/>
      </w:rPr>
      <w:t xml:space="preserve">Healthcare Revenue Cycle Analytics — Documentation Power 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2026-06-24T23:32:13.539Z</dcterms:created>
  <dcterms:modified xsi:type="dcterms:W3CDTF">2026-06-24T23:32:13.554Z</dcterms:modified>
</cp:coreProperties>
</file>

<file path=docProps/custom.xml><?xml version="1.0" encoding="utf-8"?>
<Properties xmlns="http://schemas.openxmlformats.org/officeDocument/2006/custom-properties" xmlns:vt="http://schemas.openxmlformats.org/officeDocument/2006/docPropsVTypes"/>
</file>