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31874" w14:textId="77777777" w:rsidR="002E02CE" w:rsidRDefault="002E02CE">
      <w:pPr>
        <w:spacing w:before="1600"/>
      </w:pPr>
    </w:p>
    <w:p w14:paraId="72ADCC0A" w14:textId="77777777" w:rsidR="002E02CE" w:rsidRDefault="00000000">
      <w:pPr>
        <w:jc w:val="center"/>
      </w:pPr>
      <w:r>
        <w:rPr>
          <w:b/>
          <w:bCs/>
          <w:color w:val="1F3864"/>
          <w:sz w:val="64"/>
          <w:szCs w:val="64"/>
        </w:rPr>
        <w:t>PITCHSIDE PRO</w:t>
      </w:r>
    </w:p>
    <w:p w14:paraId="10799ACA" w14:textId="77777777" w:rsidR="002E02CE" w:rsidRDefault="00000000">
      <w:pPr>
        <w:spacing w:before="200" w:after="100"/>
        <w:jc w:val="center"/>
      </w:pPr>
      <w:r>
        <w:rPr>
          <w:color w:val="333333"/>
          <w:sz w:val="32"/>
          <w:szCs w:val="32"/>
        </w:rPr>
        <w:t>Diagnostic de la performance des revenus</w:t>
      </w:r>
    </w:p>
    <w:p w14:paraId="2433F44D" w14:textId="77777777" w:rsidR="002E02CE" w:rsidRDefault="00000000">
      <w:pPr>
        <w:spacing w:after="600"/>
        <w:jc w:val="center"/>
      </w:pPr>
      <w:r>
        <w:rPr>
          <w:i/>
          <w:iCs/>
          <w:color w:val="666666"/>
          <w:sz w:val="24"/>
          <w:szCs w:val="24"/>
        </w:rPr>
        <w:t>Documentation complète du projet d'analyse Power BI</w:t>
      </w:r>
    </w:p>
    <w:p w14:paraId="782FFB4C" w14:textId="77777777" w:rsidR="002E02CE" w:rsidRDefault="00000000">
      <w:pPr>
        <w:pBdr>
          <w:top w:val="single" w:sz="6" w:space="12" w:color="1F3864"/>
        </w:pBdr>
        <w:spacing w:before="1200" w:after="80"/>
        <w:jc w:val="center"/>
      </w:pPr>
      <w:r>
        <w:rPr>
          <w:color w:val="333333"/>
          <w:sz w:val="20"/>
          <w:szCs w:val="20"/>
        </w:rPr>
        <w:t>Power BI Data Visualization World Championship — Manche 1</w:t>
      </w:r>
    </w:p>
    <w:p w14:paraId="63C87DD4" w14:textId="77777777" w:rsidR="002E02CE" w:rsidRDefault="00000000">
      <w:pPr>
        <w:spacing w:after="40"/>
        <w:jc w:val="center"/>
      </w:pPr>
      <w:r>
        <w:rPr>
          <w:color w:val="333333"/>
          <w:sz w:val="20"/>
          <w:szCs w:val="20"/>
        </w:rPr>
        <w:t>Jeu de données : PitchSide Pro (fictif) — E-commerce d'articles de football</w:t>
      </w:r>
    </w:p>
    <w:p w14:paraId="1D902B86" w14:textId="77777777" w:rsidR="002E02CE" w:rsidRDefault="00000000">
      <w:pPr>
        <w:spacing w:after="40"/>
        <w:jc w:val="center"/>
      </w:pPr>
      <w:r>
        <w:rPr>
          <w:color w:val="333333"/>
          <w:sz w:val="20"/>
          <w:szCs w:val="20"/>
        </w:rPr>
        <w:t>Document de référence : démarche analytique, modélisation, DAX et storytelling</w:t>
      </w:r>
    </w:p>
    <w:p w14:paraId="3EE270AC" w14:textId="77777777" w:rsidR="002E02CE" w:rsidRDefault="00000000">
      <w:pPr>
        <w:spacing w:before="800"/>
        <w:jc w:val="center"/>
      </w:pPr>
      <w:r>
        <w:rPr>
          <w:i/>
          <w:iCs/>
          <w:color w:val="888888"/>
          <w:sz w:val="18"/>
          <w:szCs w:val="18"/>
        </w:rPr>
        <w:t>Document rédigé en mode mentorat — à usage de portfolio et de guide d'amélioration future</w:t>
      </w:r>
    </w:p>
    <w:p w14:paraId="10094AC8" w14:textId="77777777" w:rsidR="002E02CE" w:rsidRDefault="00000000">
      <w:r>
        <w:br w:type="page"/>
      </w:r>
    </w:p>
    <w:p w14:paraId="4F869B65" w14:textId="77777777" w:rsidR="002E02CE" w:rsidRDefault="00000000">
      <w:pPr>
        <w:pStyle w:val="Titre1"/>
      </w:pPr>
      <w:bookmarkStart w:id="0" w:name="_Toc232967249"/>
      <w:r>
        <w:lastRenderedPageBreak/>
        <w:t>Sommaire</w:t>
      </w:r>
      <w:bookmarkEnd w:id="0"/>
    </w:p>
    <w:sdt>
      <w:sdtPr>
        <w:alias w:val="Sommaire"/>
        <w:id w:val="531073670"/>
      </w:sdtPr>
      <w:sdtContent>
        <w:p w14:paraId="7A044921" w14:textId="31562E96" w:rsidR="00670552" w:rsidRDefault="00000000">
          <w:pPr>
            <w:pStyle w:val="TM1"/>
            <w:tabs>
              <w:tab w:val="right" w:leader="dot" w:pos="9350"/>
            </w:tabs>
            <w:rPr>
              <w:noProof/>
            </w:rPr>
          </w:pPr>
          <w:r>
            <w:fldChar w:fldCharType="begin"/>
          </w:r>
          <w:r>
            <w:instrText>TOC \h \o "1-3"</w:instrText>
          </w:r>
          <w:r>
            <w:fldChar w:fldCharType="separate"/>
          </w:r>
          <w:hyperlink w:anchor="_Toc232967249" w:history="1">
            <w:r w:rsidR="00670552" w:rsidRPr="0066409C">
              <w:rPr>
                <w:rStyle w:val="Lienhypertexte"/>
                <w:noProof/>
              </w:rPr>
              <w:t>Sommaire</w:t>
            </w:r>
            <w:r w:rsidR="00670552">
              <w:rPr>
                <w:noProof/>
              </w:rPr>
              <w:tab/>
            </w:r>
            <w:r w:rsidR="00670552">
              <w:rPr>
                <w:noProof/>
              </w:rPr>
              <w:fldChar w:fldCharType="begin"/>
            </w:r>
            <w:r w:rsidR="00670552">
              <w:rPr>
                <w:noProof/>
              </w:rPr>
              <w:instrText xml:space="preserve"> PAGEREF _Toc232967249 \h </w:instrText>
            </w:r>
            <w:r w:rsidR="00670552">
              <w:rPr>
                <w:noProof/>
              </w:rPr>
            </w:r>
            <w:r w:rsidR="00670552">
              <w:rPr>
                <w:noProof/>
              </w:rPr>
              <w:fldChar w:fldCharType="separate"/>
            </w:r>
            <w:r w:rsidR="000B5DD4">
              <w:rPr>
                <w:noProof/>
              </w:rPr>
              <w:t>2</w:t>
            </w:r>
            <w:r w:rsidR="00670552">
              <w:rPr>
                <w:noProof/>
              </w:rPr>
              <w:fldChar w:fldCharType="end"/>
            </w:r>
          </w:hyperlink>
        </w:p>
        <w:p w14:paraId="11767638" w14:textId="178DAF0D" w:rsidR="00670552" w:rsidRDefault="00670552">
          <w:pPr>
            <w:pStyle w:val="TM1"/>
            <w:tabs>
              <w:tab w:val="right" w:leader="dot" w:pos="9350"/>
            </w:tabs>
            <w:rPr>
              <w:noProof/>
            </w:rPr>
          </w:pPr>
          <w:hyperlink w:anchor="_Toc232967250" w:history="1">
            <w:r w:rsidRPr="0066409C">
              <w:rPr>
                <w:rStyle w:val="Lienhypertexte"/>
                <w:noProof/>
              </w:rPr>
              <w:t>Avant-propos</w:t>
            </w:r>
            <w:r>
              <w:rPr>
                <w:noProof/>
              </w:rPr>
              <w:tab/>
            </w:r>
            <w:r>
              <w:rPr>
                <w:noProof/>
              </w:rPr>
              <w:fldChar w:fldCharType="begin"/>
            </w:r>
            <w:r>
              <w:rPr>
                <w:noProof/>
              </w:rPr>
              <w:instrText xml:space="preserve"> PAGEREF _Toc232967250 \h </w:instrText>
            </w:r>
            <w:r>
              <w:rPr>
                <w:noProof/>
              </w:rPr>
            </w:r>
            <w:r>
              <w:rPr>
                <w:noProof/>
              </w:rPr>
              <w:fldChar w:fldCharType="separate"/>
            </w:r>
            <w:r w:rsidR="000B5DD4">
              <w:rPr>
                <w:noProof/>
              </w:rPr>
              <w:t>5</w:t>
            </w:r>
            <w:r>
              <w:rPr>
                <w:noProof/>
              </w:rPr>
              <w:fldChar w:fldCharType="end"/>
            </w:r>
          </w:hyperlink>
        </w:p>
        <w:p w14:paraId="08A2064F" w14:textId="44E6B1ED" w:rsidR="00670552" w:rsidRDefault="00670552">
          <w:pPr>
            <w:pStyle w:val="TM1"/>
            <w:tabs>
              <w:tab w:val="right" w:leader="dot" w:pos="9350"/>
            </w:tabs>
            <w:rPr>
              <w:noProof/>
            </w:rPr>
          </w:pPr>
          <w:hyperlink w:anchor="_Toc232967251" w:history="1">
            <w:r w:rsidRPr="0066409C">
              <w:rPr>
                <w:rStyle w:val="Lienhypertexte"/>
                <w:noProof/>
              </w:rPr>
              <w:t>1. Compréhension du contexte métier</w:t>
            </w:r>
            <w:r>
              <w:rPr>
                <w:noProof/>
              </w:rPr>
              <w:tab/>
            </w:r>
            <w:r>
              <w:rPr>
                <w:noProof/>
              </w:rPr>
              <w:fldChar w:fldCharType="begin"/>
            </w:r>
            <w:r>
              <w:rPr>
                <w:noProof/>
              </w:rPr>
              <w:instrText xml:space="preserve"> PAGEREF _Toc232967251 \h </w:instrText>
            </w:r>
            <w:r>
              <w:rPr>
                <w:noProof/>
              </w:rPr>
            </w:r>
            <w:r>
              <w:rPr>
                <w:noProof/>
              </w:rPr>
              <w:fldChar w:fldCharType="separate"/>
            </w:r>
            <w:r w:rsidR="000B5DD4">
              <w:rPr>
                <w:noProof/>
              </w:rPr>
              <w:t>6</w:t>
            </w:r>
            <w:r>
              <w:rPr>
                <w:noProof/>
              </w:rPr>
              <w:fldChar w:fldCharType="end"/>
            </w:r>
          </w:hyperlink>
        </w:p>
        <w:p w14:paraId="4AD8AE82" w14:textId="1FEBE70E" w:rsidR="00670552" w:rsidRDefault="00670552">
          <w:pPr>
            <w:pStyle w:val="TM2"/>
            <w:tabs>
              <w:tab w:val="right" w:leader="dot" w:pos="9350"/>
            </w:tabs>
            <w:rPr>
              <w:noProof/>
            </w:rPr>
          </w:pPr>
          <w:hyperlink w:anchor="_Toc232967252" w:history="1">
            <w:r w:rsidRPr="0066409C">
              <w:rPr>
                <w:rStyle w:val="Lienhypertexte"/>
                <w:noProof/>
              </w:rPr>
              <w:t>1.1 Le modèle économique implicite du jeu de données</w:t>
            </w:r>
            <w:r>
              <w:rPr>
                <w:noProof/>
              </w:rPr>
              <w:tab/>
            </w:r>
            <w:r>
              <w:rPr>
                <w:noProof/>
              </w:rPr>
              <w:fldChar w:fldCharType="begin"/>
            </w:r>
            <w:r>
              <w:rPr>
                <w:noProof/>
              </w:rPr>
              <w:instrText xml:space="preserve"> PAGEREF _Toc232967252 \h </w:instrText>
            </w:r>
            <w:r>
              <w:rPr>
                <w:noProof/>
              </w:rPr>
            </w:r>
            <w:r>
              <w:rPr>
                <w:noProof/>
              </w:rPr>
              <w:fldChar w:fldCharType="separate"/>
            </w:r>
            <w:r w:rsidR="000B5DD4">
              <w:rPr>
                <w:noProof/>
              </w:rPr>
              <w:t>6</w:t>
            </w:r>
            <w:r>
              <w:rPr>
                <w:noProof/>
              </w:rPr>
              <w:fldChar w:fldCharType="end"/>
            </w:r>
          </w:hyperlink>
        </w:p>
        <w:p w14:paraId="75AB98B3" w14:textId="36E3C616" w:rsidR="00670552" w:rsidRDefault="00670552">
          <w:pPr>
            <w:pStyle w:val="TM2"/>
            <w:tabs>
              <w:tab w:val="right" w:leader="dot" w:pos="9350"/>
            </w:tabs>
            <w:rPr>
              <w:noProof/>
            </w:rPr>
          </w:pPr>
          <w:hyperlink w:anchor="_Toc232967253" w:history="1">
            <w:r w:rsidRPr="0066409C">
              <w:rPr>
                <w:rStyle w:val="Lienhypertexte"/>
                <w:noProof/>
              </w:rPr>
              <w:t>1.2 Un axe de saisonnalité spécifique au secteur</w:t>
            </w:r>
            <w:r>
              <w:rPr>
                <w:noProof/>
              </w:rPr>
              <w:tab/>
            </w:r>
            <w:r>
              <w:rPr>
                <w:noProof/>
              </w:rPr>
              <w:fldChar w:fldCharType="begin"/>
            </w:r>
            <w:r>
              <w:rPr>
                <w:noProof/>
              </w:rPr>
              <w:instrText xml:space="preserve"> PAGEREF _Toc232967253 \h </w:instrText>
            </w:r>
            <w:r>
              <w:rPr>
                <w:noProof/>
              </w:rPr>
            </w:r>
            <w:r>
              <w:rPr>
                <w:noProof/>
              </w:rPr>
              <w:fldChar w:fldCharType="separate"/>
            </w:r>
            <w:r w:rsidR="000B5DD4">
              <w:rPr>
                <w:noProof/>
              </w:rPr>
              <w:t>6</w:t>
            </w:r>
            <w:r>
              <w:rPr>
                <w:noProof/>
              </w:rPr>
              <w:fldChar w:fldCharType="end"/>
            </w:r>
          </w:hyperlink>
        </w:p>
        <w:p w14:paraId="530E054F" w14:textId="4F817B96" w:rsidR="00670552" w:rsidRDefault="00670552">
          <w:pPr>
            <w:pStyle w:val="TM2"/>
            <w:tabs>
              <w:tab w:val="right" w:leader="dot" w:pos="9350"/>
            </w:tabs>
            <w:rPr>
              <w:noProof/>
            </w:rPr>
          </w:pPr>
          <w:hyperlink w:anchor="_Toc232967254" w:history="1">
            <w:r w:rsidRPr="0066409C">
              <w:rPr>
                <w:rStyle w:val="Lienhypertexte"/>
                <w:noProof/>
              </w:rPr>
              <w:t>1.3 Problématiques métier déduites du jeu de données</w:t>
            </w:r>
            <w:r>
              <w:rPr>
                <w:noProof/>
              </w:rPr>
              <w:tab/>
            </w:r>
            <w:r>
              <w:rPr>
                <w:noProof/>
              </w:rPr>
              <w:fldChar w:fldCharType="begin"/>
            </w:r>
            <w:r>
              <w:rPr>
                <w:noProof/>
              </w:rPr>
              <w:instrText xml:space="preserve"> PAGEREF _Toc232967254 \h </w:instrText>
            </w:r>
            <w:r>
              <w:rPr>
                <w:noProof/>
              </w:rPr>
            </w:r>
            <w:r>
              <w:rPr>
                <w:noProof/>
              </w:rPr>
              <w:fldChar w:fldCharType="separate"/>
            </w:r>
            <w:r w:rsidR="000B5DD4">
              <w:rPr>
                <w:noProof/>
              </w:rPr>
              <w:t>6</w:t>
            </w:r>
            <w:r>
              <w:rPr>
                <w:noProof/>
              </w:rPr>
              <w:fldChar w:fldCharType="end"/>
            </w:r>
          </w:hyperlink>
        </w:p>
        <w:p w14:paraId="5BEE9252" w14:textId="01F901DC" w:rsidR="00670552" w:rsidRDefault="00670552">
          <w:pPr>
            <w:pStyle w:val="TM2"/>
            <w:tabs>
              <w:tab w:val="right" w:leader="dot" w:pos="9350"/>
            </w:tabs>
            <w:rPr>
              <w:noProof/>
            </w:rPr>
          </w:pPr>
          <w:hyperlink w:anchor="_Toc232967255" w:history="1">
            <w:r w:rsidRPr="0066409C">
              <w:rPr>
                <w:rStyle w:val="Lienhypertexte"/>
                <w:noProof/>
              </w:rPr>
              <w:t>1.4 KPIs retenus et justification métier</w:t>
            </w:r>
            <w:r>
              <w:rPr>
                <w:noProof/>
              </w:rPr>
              <w:tab/>
            </w:r>
            <w:r>
              <w:rPr>
                <w:noProof/>
              </w:rPr>
              <w:fldChar w:fldCharType="begin"/>
            </w:r>
            <w:r>
              <w:rPr>
                <w:noProof/>
              </w:rPr>
              <w:instrText xml:space="preserve"> PAGEREF _Toc232967255 \h </w:instrText>
            </w:r>
            <w:r>
              <w:rPr>
                <w:noProof/>
              </w:rPr>
            </w:r>
            <w:r>
              <w:rPr>
                <w:noProof/>
              </w:rPr>
              <w:fldChar w:fldCharType="separate"/>
            </w:r>
            <w:r w:rsidR="000B5DD4">
              <w:rPr>
                <w:noProof/>
              </w:rPr>
              <w:t>7</w:t>
            </w:r>
            <w:r>
              <w:rPr>
                <w:noProof/>
              </w:rPr>
              <w:fldChar w:fldCharType="end"/>
            </w:r>
          </w:hyperlink>
        </w:p>
        <w:p w14:paraId="6A703FD5" w14:textId="65482C39" w:rsidR="00670552" w:rsidRDefault="00670552">
          <w:pPr>
            <w:pStyle w:val="TM1"/>
            <w:tabs>
              <w:tab w:val="right" w:leader="dot" w:pos="9350"/>
            </w:tabs>
            <w:rPr>
              <w:noProof/>
            </w:rPr>
          </w:pPr>
          <w:hyperlink w:anchor="_Toc232967256" w:history="1">
            <w:r w:rsidRPr="0066409C">
              <w:rPr>
                <w:rStyle w:val="Lienhypertexte"/>
                <w:noProof/>
              </w:rPr>
              <w:t>2. Analyse du dataset et qualité des données</w:t>
            </w:r>
            <w:r>
              <w:rPr>
                <w:noProof/>
              </w:rPr>
              <w:tab/>
            </w:r>
            <w:r>
              <w:rPr>
                <w:noProof/>
              </w:rPr>
              <w:fldChar w:fldCharType="begin"/>
            </w:r>
            <w:r>
              <w:rPr>
                <w:noProof/>
              </w:rPr>
              <w:instrText xml:space="preserve"> PAGEREF _Toc232967256 \h </w:instrText>
            </w:r>
            <w:r>
              <w:rPr>
                <w:noProof/>
              </w:rPr>
            </w:r>
            <w:r>
              <w:rPr>
                <w:noProof/>
              </w:rPr>
              <w:fldChar w:fldCharType="separate"/>
            </w:r>
            <w:r w:rsidR="000B5DD4">
              <w:rPr>
                <w:noProof/>
              </w:rPr>
              <w:t>8</w:t>
            </w:r>
            <w:r>
              <w:rPr>
                <w:noProof/>
              </w:rPr>
              <w:fldChar w:fldCharType="end"/>
            </w:r>
          </w:hyperlink>
        </w:p>
        <w:p w14:paraId="6F4DCBBB" w14:textId="460D112C" w:rsidR="00670552" w:rsidRDefault="00670552">
          <w:pPr>
            <w:pStyle w:val="TM2"/>
            <w:tabs>
              <w:tab w:val="right" w:leader="dot" w:pos="9350"/>
            </w:tabs>
            <w:rPr>
              <w:noProof/>
            </w:rPr>
          </w:pPr>
          <w:hyperlink w:anchor="_Toc232967257" w:history="1">
            <w:r w:rsidRPr="0066409C">
              <w:rPr>
                <w:rStyle w:val="Lienhypertexte"/>
                <w:noProof/>
              </w:rPr>
              <w:t>2.1 Structure générale</w:t>
            </w:r>
            <w:r>
              <w:rPr>
                <w:noProof/>
              </w:rPr>
              <w:tab/>
            </w:r>
            <w:r>
              <w:rPr>
                <w:noProof/>
              </w:rPr>
              <w:fldChar w:fldCharType="begin"/>
            </w:r>
            <w:r>
              <w:rPr>
                <w:noProof/>
              </w:rPr>
              <w:instrText xml:space="preserve"> PAGEREF _Toc232967257 \h </w:instrText>
            </w:r>
            <w:r>
              <w:rPr>
                <w:noProof/>
              </w:rPr>
            </w:r>
            <w:r>
              <w:rPr>
                <w:noProof/>
              </w:rPr>
              <w:fldChar w:fldCharType="separate"/>
            </w:r>
            <w:r w:rsidR="000B5DD4">
              <w:rPr>
                <w:noProof/>
              </w:rPr>
              <w:t>8</w:t>
            </w:r>
            <w:r>
              <w:rPr>
                <w:noProof/>
              </w:rPr>
              <w:fldChar w:fldCharType="end"/>
            </w:r>
          </w:hyperlink>
        </w:p>
        <w:p w14:paraId="168DC0B8" w14:textId="26FD4B68" w:rsidR="00670552" w:rsidRDefault="00670552">
          <w:pPr>
            <w:pStyle w:val="TM2"/>
            <w:tabs>
              <w:tab w:val="right" w:leader="dot" w:pos="9350"/>
            </w:tabs>
            <w:rPr>
              <w:noProof/>
            </w:rPr>
          </w:pPr>
          <w:hyperlink w:anchor="_Toc232967258" w:history="1">
            <w:r w:rsidRPr="0066409C">
              <w:rPr>
                <w:rStyle w:val="Lienhypertexte"/>
                <w:noProof/>
              </w:rPr>
              <w:t>2.2 Vérifications de qualité effectuées</w:t>
            </w:r>
            <w:r>
              <w:rPr>
                <w:noProof/>
              </w:rPr>
              <w:tab/>
            </w:r>
            <w:r>
              <w:rPr>
                <w:noProof/>
              </w:rPr>
              <w:fldChar w:fldCharType="begin"/>
            </w:r>
            <w:r>
              <w:rPr>
                <w:noProof/>
              </w:rPr>
              <w:instrText xml:space="preserve"> PAGEREF _Toc232967258 \h </w:instrText>
            </w:r>
            <w:r>
              <w:rPr>
                <w:noProof/>
              </w:rPr>
            </w:r>
            <w:r>
              <w:rPr>
                <w:noProof/>
              </w:rPr>
              <w:fldChar w:fldCharType="separate"/>
            </w:r>
            <w:r w:rsidR="000B5DD4">
              <w:rPr>
                <w:noProof/>
              </w:rPr>
              <w:t>8</w:t>
            </w:r>
            <w:r>
              <w:rPr>
                <w:noProof/>
              </w:rPr>
              <w:fldChar w:fldCharType="end"/>
            </w:r>
          </w:hyperlink>
        </w:p>
        <w:p w14:paraId="57270904" w14:textId="3C51FC8B" w:rsidR="00670552" w:rsidRDefault="00670552">
          <w:pPr>
            <w:pStyle w:val="TM2"/>
            <w:tabs>
              <w:tab w:val="right" w:leader="dot" w:pos="9350"/>
            </w:tabs>
            <w:rPr>
              <w:noProof/>
            </w:rPr>
          </w:pPr>
          <w:hyperlink w:anchor="_Toc232967259" w:history="1">
            <w:r w:rsidRPr="0066409C">
              <w:rPr>
                <w:rStyle w:val="Lienhypertexte"/>
                <w:noProof/>
              </w:rPr>
              <w:t>2.3 Décision de traitement retenue</w:t>
            </w:r>
            <w:r>
              <w:rPr>
                <w:noProof/>
              </w:rPr>
              <w:tab/>
            </w:r>
            <w:r>
              <w:rPr>
                <w:noProof/>
              </w:rPr>
              <w:fldChar w:fldCharType="begin"/>
            </w:r>
            <w:r>
              <w:rPr>
                <w:noProof/>
              </w:rPr>
              <w:instrText xml:space="preserve"> PAGEREF _Toc232967259 \h </w:instrText>
            </w:r>
            <w:r>
              <w:rPr>
                <w:noProof/>
              </w:rPr>
            </w:r>
            <w:r>
              <w:rPr>
                <w:noProof/>
              </w:rPr>
              <w:fldChar w:fldCharType="separate"/>
            </w:r>
            <w:r w:rsidR="000B5DD4">
              <w:rPr>
                <w:noProof/>
              </w:rPr>
              <w:t>9</w:t>
            </w:r>
            <w:r>
              <w:rPr>
                <w:noProof/>
              </w:rPr>
              <w:fldChar w:fldCharType="end"/>
            </w:r>
          </w:hyperlink>
        </w:p>
        <w:p w14:paraId="0F91C4CF" w14:textId="5AA3A8CC" w:rsidR="00670552" w:rsidRDefault="00670552">
          <w:pPr>
            <w:pStyle w:val="TM1"/>
            <w:tabs>
              <w:tab w:val="right" w:leader="dot" w:pos="9350"/>
            </w:tabs>
            <w:rPr>
              <w:noProof/>
            </w:rPr>
          </w:pPr>
          <w:hyperlink w:anchor="_Toc232967260" w:history="1">
            <w:r w:rsidRPr="0066409C">
              <w:rPr>
                <w:rStyle w:val="Lienhypertexte"/>
                <w:noProof/>
              </w:rPr>
              <w:t>3. Exploration — Quand le revenu varie (axe temporel)</w:t>
            </w:r>
            <w:r>
              <w:rPr>
                <w:noProof/>
              </w:rPr>
              <w:tab/>
            </w:r>
            <w:r>
              <w:rPr>
                <w:noProof/>
              </w:rPr>
              <w:fldChar w:fldCharType="begin"/>
            </w:r>
            <w:r>
              <w:rPr>
                <w:noProof/>
              </w:rPr>
              <w:instrText xml:space="preserve"> PAGEREF _Toc232967260 \h </w:instrText>
            </w:r>
            <w:r>
              <w:rPr>
                <w:noProof/>
              </w:rPr>
            </w:r>
            <w:r>
              <w:rPr>
                <w:noProof/>
              </w:rPr>
              <w:fldChar w:fldCharType="separate"/>
            </w:r>
            <w:r w:rsidR="000B5DD4">
              <w:rPr>
                <w:noProof/>
              </w:rPr>
              <w:t>10</w:t>
            </w:r>
            <w:r>
              <w:rPr>
                <w:noProof/>
              </w:rPr>
              <w:fldChar w:fldCharType="end"/>
            </w:r>
          </w:hyperlink>
        </w:p>
        <w:p w14:paraId="6637F152" w14:textId="42237A28" w:rsidR="00670552" w:rsidRDefault="00670552">
          <w:pPr>
            <w:pStyle w:val="TM2"/>
            <w:tabs>
              <w:tab w:val="right" w:leader="dot" w:pos="9350"/>
            </w:tabs>
            <w:rPr>
              <w:noProof/>
            </w:rPr>
          </w:pPr>
          <w:hyperlink w:anchor="_Toc232967261" w:history="1">
            <w:r w:rsidRPr="0066409C">
              <w:rPr>
                <w:rStyle w:val="Lienhypertexte"/>
                <w:noProof/>
              </w:rPr>
              <w:t>3.1 Une croissance de fond continue</w:t>
            </w:r>
            <w:r>
              <w:rPr>
                <w:noProof/>
              </w:rPr>
              <w:tab/>
            </w:r>
            <w:r>
              <w:rPr>
                <w:noProof/>
              </w:rPr>
              <w:fldChar w:fldCharType="begin"/>
            </w:r>
            <w:r>
              <w:rPr>
                <w:noProof/>
              </w:rPr>
              <w:instrText xml:space="preserve"> PAGEREF _Toc232967261 \h </w:instrText>
            </w:r>
            <w:r>
              <w:rPr>
                <w:noProof/>
              </w:rPr>
            </w:r>
            <w:r>
              <w:rPr>
                <w:noProof/>
              </w:rPr>
              <w:fldChar w:fldCharType="separate"/>
            </w:r>
            <w:r w:rsidR="000B5DD4">
              <w:rPr>
                <w:noProof/>
              </w:rPr>
              <w:t>10</w:t>
            </w:r>
            <w:r>
              <w:rPr>
                <w:noProof/>
              </w:rPr>
              <w:fldChar w:fldCharType="end"/>
            </w:r>
          </w:hyperlink>
        </w:p>
        <w:p w14:paraId="0B31B281" w14:textId="601EA522" w:rsidR="00670552" w:rsidRDefault="00670552">
          <w:pPr>
            <w:pStyle w:val="TM2"/>
            <w:tabs>
              <w:tab w:val="right" w:leader="dot" w:pos="9350"/>
            </w:tabs>
            <w:rPr>
              <w:noProof/>
            </w:rPr>
          </w:pPr>
          <w:hyperlink w:anchor="_Toc232967262" w:history="1">
            <w:r w:rsidRPr="0066409C">
              <w:rPr>
                <w:rStyle w:val="Lienhypertexte"/>
                <w:noProof/>
              </w:rPr>
              <w:t>3.2 L'effet tournoi, plus subtil qu'attendu</w:t>
            </w:r>
            <w:r>
              <w:rPr>
                <w:noProof/>
              </w:rPr>
              <w:tab/>
            </w:r>
            <w:r>
              <w:rPr>
                <w:noProof/>
              </w:rPr>
              <w:fldChar w:fldCharType="begin"/>
            </w:r>
            <w:r>
              <w:rPr>
                <w:noProof/>
              </w:rPr>
              <w:instrText xml:space="preserve"> PAGEREF _Toc232967262 \h </w:instrText>
            </w:r>
            <w:r>
              <w:rPr>
                <w:noProof/>
              </w:rPr>
            </w:r>
            <w:r>
              <w:rPr>
                <w:noProof/>
              </w:rPr>
              <w:fldChar w:fldCharType="separate"/>
            </w:r>
            <w:r w:rsidR="000B5DD4">
              <w:rPr>
                <w:noProof/>
              </w:rPr>
              <w:t>10</w:t>
            </w:r>
            <w:r>
              <w:rPr>
                <w:noProof/>
              </w:rPr>
              <w:fldChar w:fldCharType="end"/>
            </w:r>
          </w:hyperlink>
        </w:p>
        <w:p w14:paraId="0C99BEEE" w14:textId="4FA4869B" w:rsidR="00670552" w:rsidRDefault="00670552">
          <w:pPr>
            <w:pStyle w:val="TM2"/>
            <w:tabs>
              <w:tab w:val="right" w:leader="dot" w:pos="9350"/>
            </w:tabs>
            <w:rPr>
              <w:noProof/>
            </w:rPr>
          </w:pPr>
          <w:hyperlink w:anchor="_Toc232967263" w:history="1">
            <w:r w:rsidRPr="0066409C">
              <w:rPr>
                <w:rStyle w:val="Lienhypertexte"/>
                <w:noProof/>
              </w:rPr>
              <w:t>3.3 Un signal plus régulier : Kit Launch Season</w:t>
            </w:r>
            <w:r>
              <w:rPr>
                <w:noProof/>
              </w:rPr>
              <w:tab/>
            </w:r>
            <w:r>
              <w:rPr>
                <w:noProof/>
              </w:rPr>
              <w:fldChar w:fldCharType="begin"/>
            </w:r>
            <w:r>
              <w:rPr>
                <w:noProof/>
              </w:rPr>
              <w:instrText xml:space="preserve"> PAGEREF _Toc232967263 \h </w:instrText>
            </w:r>
            <w:r>
              <w:rPr>
                <w:noProof/>
              </w:rPr>
            </w:r>
            <w:r>
              <w:rPr>
                <w:noProof/>
              </w:rPr>
              <w:fldChar w:fldCharType="separate"/>
            </w:r>
            <w:r w:rsidR="000B5DD4">
              <w:rPr>
                <w:noProof/>
              </w:rPr>
              <w:t>10</w:t>
            </w:r>
            <w:r>
              <w:rPr>
                <w:noProof/>
              </w:rPr>
              <w:fldChar w:fldCharType="end"/>
            </w:r>
          </w:hyperlink>
        </w:p>
        <w:p w14:paraId="013E6F8E" w14:textId="4E269C1C" w:rsidR="00670552" w:rsidRDefault="00670552">
          <w:pPr>
            <w:pStyle w:val="TM1"/>
            <w:tabs>
              <w:tab w:val="right" w:leader="dot" w:pos="9350"/>
            </w:tabs>
            <w:rPr>
              <w:noProof/>
            </w:rPr>
          </w:pPr>
          <w:hyperlink w:anchor="_Toc232967264" w:history="1">
            <w:r w:rsidRPr="0066409C">
              <w:rPr>
                <w:rStyle w:val="Lienhypertexte"/>
                <w:noProof/>
              </w:rPr>
              <w:t>4. Exploration — Pourquoi le revenu varie (axe Facteurs)</w:t>
            </w:r>
            <w:r>
              <w:rPr>
                <w:noProof/>
              </w:rPr>
              <w:tab/>
            </w:r>
            <w:r>
              <w:rPr>
                <w:noProof/>
              </w:rPr>
              <w:fldChar w:fldCharType="begin"/>
            </w:r>
            <w:r>
              <w:rPr>
                <w:noProof/>
              </w:rPr>
              <w:instrText xml:space="preserve"> PAGEREF _Toc232967264 \h </w:instrText>
            </w:r>
            <w:r>
              <w:rPr>
                <w:noProof/>
              </w:rPr>
            </w:r>
            <w:r>
              <w:rPr>
                <w:noProof/>
              </w:rPr>
              <w:fldChar w:fldCharType="separate"/>
            </w:r>
            <w:r w:rsidR="000B5DD4">
              <w:rPr>
                <w:noProof/>
              </w:rPr>
              <w:t>11</w:t>
            </w:r>
            <w:r>
              <w:rPr>
                <w:noProof/>
              </w:rPr>
              <w:fldChar w:fldCharType="end"/>
            </w:r>
          </w:hyperlink>
        </w:p>
        <w:p w14:paraId="534A4BD0" w14:textId="3B158AA8" w:rsidR="00670552" w:rsidRDefault="00670552">
          <w:pPr>
            <w:pStyle w:val="TM2"/>
            <w:tabs>
              <w:tab w:val="right" w:leader="dot" w:pos="9350"/>
            </w:tabs>
            <w:rPr>
              <w:noProof/>
            </w:rPr>
          </w:pPr>
          <w:hyperlink w:anchor="_Toc232967265" w:history="1">
            <w:r w:rsidRPr="0066409C">
              <w:rPr>
                <w:rStyle w:val="Lienhypertexte"/>
                <w:noProof/>
              </w:rPr>
              <w:t>4.1 Résultat global — indexé base 100 en 2021</w:t>
            </w:r>
            <w:r>
              <w:rPr>
                <w:noProof/>
              </w:rPr>
              <w:tab/>
            </w:r>
            <w:r>
              <w:rPr>
                <w:noProof/>
              </w:rPr>
              <w:fldChar w:fldCharType="begin"/>
            </w:r>
            <w:r>
              <w:rPr>
                <w:noProof/>
              </w:rPr>
              <w:instrText xml:space="preserve"> PAGEREF _Toc232967265 \h </w:instrText>
            </w:r>
            <w:r>
              <w:rPr>
                <w:noProof/>
              </w:rPr>
            </w:r>
            <w:r>
              <w:rPr>
                <w:noProof/>
              </w:rPr>
              <w:fldChar w:fldCharType="separate"/>
            </w:r>
            <w:r w:rsidR="000B5DD4">
              <w:rPr>
                <w:noProof/>
              </w:rPr>
              <w:t>11</w:t>
            </w:r>
            <w:r>
              <w:rPr>
                <w:noProof/>
              </w:rPr>
              <w:fldChar w:fldCharType="end"/>
            </w:r>
          </w:hyperlink>
        </w:p>
        <w:p w14:paraId="644B515D" w14:textId="5D63080B" w:rsidR="00670552" w:rsidRDefault="00670552">
          <w:pPr>
            <w:pStyle w:val="TM2"/>
            <w:tabs>
              <w:tab w:val="right" w:leader="dot" w:pos="9350"/>
            </w:tabs>
            <w:rPr>
              <w:noProof/>
            </w:rPr>
          </w:pPr>
          <w:hyperlink w:anchor="_Toc232967266" w:history="1">
            <w:r w:rsidRPr="0066409C">
              <w:rPr>
                <w:rStyle w:val="Lienhypertexte"/>
                <w:noProof/>
              </w:rPr>
              <w:t>4.2 Vérification par région — le constat tient-il, ou est-ce un effet de moyenne ?</w:t>
            </w:r>
            <w:r>
              <w:rPr>
                <w:noProof/>
              </w:rPr>
              <w:tab/>
            </w:r>
            <w:r>
              <w:rPr>
                <w:noProof/>
              </w:rPr>
              <w:fldChar w:fldCharType="begin"/>
            </w:r>
            <w:r>
              <w:rPr>
                <w:noProof/>
              </w:rPr>
              <w:instrText xml:space="preserve"> PAGEREF _Toc232967266 \h </w:instrText>
            </w:r>
            <w:r>
              <w:rPr>
                <w:noProof/>
              </w:rPr>
            </w:r>
            <w:r>
              <w:rPr>
                <w:noProof/>
              </w:rPr>
              <w:fldChar w:fldCharType="separate"/>
            </w:r>
            <w:r w:rsidR="000B5DD4">
              <w:rPr>
                <w:noProof/>
              </w:rPr>
              <w:t>11</w:t>
            </w:r>
            <w:r>
              <w:rPr>
                <w:noProof/>
              </w:rPr>
              <w:fldChar w:fldCharType="end"/>
            </w:r>
          </w:hyperlink>
        </w:p>
        <w:p w14:paraId="387D4A2E" w14:textId="02721AB0" w:rsidR="00670552" w:rsidRDefault="00670552">
          <w:pPr>
            <w:pStyle w:val="TM2"/>
            <w:tabs>
              <w:tab w:val="right" w:leader="dot" w:pos="9350"/>
            </w:tabs>
            <w:rPr>
              <w:noProof/>
            </w:rPr>
          </w:pPr>
          <w:hyperlink w:anchor="_Toc232967267" w:history="1">
            <w:r w:rsidRPr="0066409C">
              <w:rPr>
                <w:rStyle w:val="Lienhypertexte"/>
                <w:noProof/>
              </w:rPr>
              <w:t>4.3 Vérification par canal — Web versus Mobile App</w:t>
            </w:r>
            <w:r>
              <w:rPr>
                <w:noProof/>
              </w:rPr>
              <w:tab/>
            </w:r>
            <w:r>
              <w:rPr>
                <w:noProof/>
              </w:rPr>
              <w:fldChar w:fldCharType="begin"/>
            </w:r>
            <w:r>
              <w:rPr>
                <w:noProof/>
              </w:rPr>
              <w:instrText xml:space="preserve"> PAGEREF _Toc232967267 \h </w:instrText>
            </w:r>
            <w:r>
              <w:rPr>
                <w:noProof/>
              </w:rPr>
            </w:r>
            <w:r>
              <w:rPr>
                <w:noProof/>
              </w:rPr>
              <w:fldChar w:fldCharType="separate"/>
            </w:r>
            <w:r w:rsidR="000B5DD4">
              <w:rPr>
                <w:noProof/>
              </w:rPr>
              <w:t>12</w:t>
            </w:r>
            <w:r>
              <w:rPr>
                <w:noProof/>
              </w:rPr>
              <w:fldChar w:fldCharType="end"/>
            </w:r>
          </w:hyperlink>
        </w:p>
        <w:p w14:paraId="3993A80B" w14:textId="5405C3E3" w:rsidR="00670552" w:rsidRDefault="00670552">
          <w:pPr>
            <w:pStyle w:val="TM1"/>
            <w:tabs>
              <w:tab w:val="right" w:leader="dot" w:pos="9350"/>
            </w:tabs>
            <w:rPr>
              <w:noProof/>
            </w:rPr>
          </w:pPr>
          <w:hyperlink w:anchor="_Toc232967268" w:history="1">
            <w:r w:rsidRPr="0066409C">
              <w:rPr>
                <w:rStyle w:val="Lienhypertexte"/>
                <w:noProof/>
              </w:rPr>
              <w:t>5. Exploration — Où agir (axe Mix)</w:t>
            </w:r>
            <w:r>
              <w:rPr>
                <w:noProof/>
              </w:rPr>
              <w:tab/>
            </w:r>
            <w:r>
              <w:rPr>
                <w:noProof/>
              </w:rPr>
              <w:fldChar w:fldCharType="begin"/>
            </w:r>
            <w:r>
              <w:rPr>
                <w:noProof/>
              </w:rPr>
              <w:instrText xml:space="preserve"> PAGEREF _Toc232967268 \h </w:instrText>
            </w:r>
            <w:r>
              <w:rPr>
                <w:noProof/>
              </w:rPr>
            </w:r>
            <w:r>
              <w:rPr>
                <w:noProof/>
              </w:rPr>
              <w:fldChar w:fldCharType="separate"/>
            </w:r>
            <w:r w:rsidR="000B5DD4">
              <w:rPr>
                <w:noProof/>
              </w:rPr>
              <w:t>13</w:t>
            </w:r>
            <w:r>
              <w:rPr>
                <w:noProof/>
              </w:rPr>
              <w:fldChar w:fldCharType="end"/>
            </w:r>
          </w:hyperlink>
        </w:p>
        <w:p w14:paraId="70A285F6" w14:textId="298720DE" w:rsidR="00670552" w:rsidRDefault="00670552">
          <w:pPr>
            <w:pStyle w:val="TM2"/>
            <w:tabs>
              <w:tab w:val="right" w:leader="dot" w:pos="9350"/>
            </w:tabs>
            <w:rPr>
              <w:noProof/>
            </w:rPr>
          </w:pPr>
          <w:hyperlink w:anchor="_Toc232967269" w:history="1">
            <w:r w:rsidRPr="0066409C">
              <w:rPr>
                <w:rStyle w:val="Lienhypertexte"/>
                <w:noProof/>
              </w:rPr>
              <w:t>5.1 Hypothèse testée n°1 — Le mix produit</w:t>
            </w:r>
            <w:r>
              <w:rPr>
                <w:noProof/>
              </w:rPr>
              <w:tab/>
            </w:r>
            <w:r>
              <w:rPr>
                <w:noProof/>
              </w:rPr>
              <w:fldChar w:fldCharType="begin"/>
            </w:r>
            <w:r>
              <w:rPr>
                <w:noProof/>
              </w:rPr>
              <w:instrText xml:space="preserve"> PAGEREF _Toc232967269 \h </w:instrText>
            </w:r>
            <w:r>
              <w:rPr>
                <w:noProof/>
              </w:rPr>
            </w:r>
            <w:r>
              <w:rPr>
                <w:noProof/>
              </w:rPr>
              <w:fldChar w:fldCharType="separate"/>
            </w:r>
            <w:r w:rsidR="000B5DD4">
              <w:rPr>
                <w:noProof/>
              </w:rPr>
              <w:t>13</w:t>
            </w:r>
            <w:r>
              <w:rPr>
                <w:noProof/>
              </w:rPr>
              <w:fldChar w:fldCharType="end"/>
            </w:r>
          </w:hyperlink>
        </w:p>
        <w:p w14:paraId="25FA11A6" w14:textId="0EF02B66" w:rsidR="00670552" w:rsidRDefault="00670552">
          <w:pPr>
            <w:pStyle w:val="TM2"/>
            <w:tabs>
              <w:tab w:val="right" w:leader="dot" w:pos="9350"/>
            </w:tabs>
            <w:rPr>
              <w:noProof/>
            </w:rPr>
          </w:pPr>
          <w:hyperlink w:anchor="_Toc232967270" w:history="1">
            <w:r w:rsidRPr="0066409C">
              <w:rPr>
                <w:rStyle w:val="Lienhypertexte"/>
                <w:noProof/>
              </w:rPr>
              <w:t>5.2 Hypothèse testée n°2 — La pression promotionnelle</w:t>
            </w:r>
            <w:r>
              <w:rPr>
                <w:noProof/>
              </w:rPr>
              <w:tab/>
            </w:r>
            <w:r>
              <w:rPr>
                <w:noProof/>
              </w:rPr>
              <w:fldChar w:fldCharType="begin"/>
            </w:r>
            <w:r>
              <w:rPr>
                <w:noProof/>
              </w:rPr>
              <w:instrText xml:space="preserve"> PAGEREF _Toc232967270 \h </w:instrText>
            </w:r>
            <w:r>
              <w:rPr>
                <w:noProof/>
              </w:rPr>
            </w:r>
            <w:r>
              <w:rPr>
                <w:noProof/>
              </w:rPr>
              <w:fldChar w:fldCharType="separate"/>
            </w:r>
            <w:r w:rsidR="000B5DD4">
              <w:rPr>
                <w:noProof/>
              </w:rPr>
              <w:t>13</w:t>
            </w:r>
            <w:r>
              <w:rPr>
                <w:noProof/>
              </w:rPr>
              <w:fldChar w:fldCharType="end"/>
            </w:r>
          </w:hyperlink>
        </w:p>
        <w:p w14:paraId="0583DAB6" w14:textId="3C12B5EC" w:rsidR="00670552" w:rsidRDefault="00670552">
          <w:pPr>
            <w:pStyle w:val="TM2"/>
            <w:tabs>
              <w:tab w:val="right" w:leader="dot" w:pos="9350"/>
            </w:tabs>
            <w:rPr>
              <w:noProof/>
            </w:rPr>
          </w:pPr>
          <w:hyperlink w:anchor="_Toc232967271" w:history="1">
            <w:r w:rsidRPr="0066409C">
              <w:rPr>
                <w:rStyle w:val="Lienhypertexte"/>
                <w:noProof/>
              </w:rPr>
              <w:t>5.3 Pistes non tranchées, documentées pour une investigation future</w:t>
            </w:r>
            <w:r>
              <w:rPr>
                <w:noProof/>
              </w:rPr>
              <w:tab/>
            </w:r>
            <w:r>
              <w:rPr>
                <w:noProof/>
              </w:rPr>
              <w:fldChar w:fldCharType="begin"/>
            </w:r>
            <w:r>
              <w:rPr>
                <w:noProof/>
              </w:rPr>
              <w:instrText xml:space="preserve"> PAGEREF _Toc232967271 \h </w:instrText>
            </w:r>
            <w:r>
              <w:rPr>
                <w:noProof/>
              </w:rPr>
            </w:r>
            <w:r>
              <w:rPr>
                <w:noProof/>
              </w:rPr>
              <w:fldChar w:fldCharType="separate"/>
            </w:r>
            <w:r w:rsidR="000B5DD4">
              <w:rPr>
                <w:noProof/>
              </w:rPr>
              <w:t>13</w:t>
            </w:r>
            <w:r>
              <w:rPr>
                <w:noProof/>
              </w:rPr>
              <w:fldChar w:fldCharType="end"/>
            </w:r>
          </w:hyperlink>
        </w:p>
        <w:p w14:paraId="2E6A1D95" w14:textId="2880F851" w:rsidR="00670552" w:rsidRDefault="00670552">
          <w:pPr>
            <w:pStyle w:val="TM2"/>
            <w:tabs>
              <w:tab w:val="right" w:leader="dot" w:pos="9350"/>
            </w:tabs>
            <w:rPr>
              <w:noProof/>
            </w:rPr>
          </w:pPr>
          <w:hyperlink w:anchor="_Toc232967272" w:history="1">
            <w:r w:rsidRPr="0066409C">
              <w:rPr>
                <w:rStyle w:val="Lienhypertexte"/>
                <w:noProof/>
              </w:rPr>
              <w:t>5.4 Retour à la saisonnalité — quel levier explique les pics ?</w:t>
            </w:r>
            <w:r>
              <w:rPr>
                <w:noProof/>
              </w:rPr>
              <w:tab/>
            </w:r>
            <w:r>
              <w:rPr>
                <w:noProof/>
              </w:rPr>
              <w:fldChar w:fldCharType="begin"/>
            </w:r>
            <w:r>
              <w:rPr>
                <w:noProof/>
              </w:rPr>
              <w:instrText xml:space="preserve"> PAGEREF _Toc232967272 \h </w:instrText>
            </w:r>
            <w:r>
              <w:rPr>
                <w:noProof/>
              </w:rPr>
            </w:r>
            <w:r>
              <w:rPr>
                <w:noProof/>
              </w:rPr>
              <w:fldChar w:fldCharType="separate"/>
            </w:r>
            <w:r w:rsidR="000B5DD4">
              <w:rPr>
                <w:noProof/>
              </w:rPr>
              <w:t>14</w:t>
            </w:r>
            <w:r>
              <w:rPr>
                <w:noProof/>
              </w:rPr>
              <w:fldChar w:fldCharType="end"/>
            </w:r>
          </w:hyperlink>
        </w:p>
        <w:p w14:paraId="37FDB013" w14:textId="3519631E" w:rsidR="00670552" w:rsidRDefault="00670552">
          <w:pPr>
            <w:pStyle w:val="TM1"/>
            <w:tabs>
              <w:tab w:val="right" w:leader="dot" w:pos="9350"/>
            </w:tabs>
            <w:rPr>
              <w:noProof/>
            </w:rPr>
          </w:pPr>
          <w:hyperlink w:anchor="_Toc232967273" w:history="1">
            <w:r w:rsidRPr="0066409C">
              <w:rPr>
                <w:rStyle w:val="Lienhypertexte"/>
                <w:noProof/>
              </w:rPr>
              <w:t>6. La thèse retenue et les recommandations stratégiques</w:t>
            </w:r>
            <w:r>
              <w:rPr>
                <w:noProof/>
              </w:rPr>
              <w:tab/>
            </w:r>
            <w:r>
              <w:rPr>
                <w:noProof/>
              </w:rPr>
              <w:fldChar w:fldCharType="begin"/>
            </w:r>
            <w:r>
              <w:rPr>
                <w:noProof/>
              </w:rPr>
              <w:instrText xml:space="preserve"> PAGEREF _Toc232967273 \h </w:instrText>
            </w:r>
            <w:r>
              <w:rPr>
                <w:noProof/>
              </w:rPr>
            </w:r>
            <w:r>
              <w:rPr>
                <w:noProof/>
              </w:rPr>
              <w:fldChar w:fldCharType="separate"/>
            </w:r>
            <w:r w:rsidR="000B5DD4">
              <w:rPr>
                <w:noProof/>
              </w:rPr>
              <w:t>15</w:t>
            </w:r>
            <w:r>
              <w:rPr>
                <w:noProof/>
              </w:rPr>
              <w:fldChar w:fldCharType="end"/>
            </w:r>
          </w:hyperlink>
        </w:p>
        <w:p w14:paraId="1A58A5AB" w14:textId="4E3E6655" w:rsidR="00670552" w:rsidRDefault="00670552">
          <w:pPr>
            <w:pStyle w:val="TM2"/>
            <w:tabs>
              <w:tab w:val="right" w:leader="dot" w:pos="9350"/>
            </w:tabs>
            <w:rPr>
              <w:noProof/>
            </w:rPr>
          </w:pPr>
          <w:hyperlink w:anchor="_Toc232967274" w:history="1">
            <w:r w:rsidRPr="0066409C">
              <w:rPr>
                <w:rStyle w:val="Lienhypertexte"/>
                <w:noProof/>
              </w:rPr>
              <w:t>6.1 La thèse, en une phrase</w:t>
            </w:r>
            <w:r>
              <w:rPr>
                <w:noProof/>
              </w:rPr>
              <w:tab/>
            </w:r>
            <w:r>
              <w:rPr>
                <w:noProof/>
              </w:rPr>
              <w:fldChar w:fldCharType="begin"/>
            </w:r>
            <w:r>
              <w:rPr>
                <w:noProof/>
              </w:rPr>
              <w:instrText xml:space="preserve"> PAGEREF _Toc232967274 \h </w:instrText>
            </w:r>
            <w:r>
              <w:rPr>
                <w:noProof/>
              </w:rPr>
            </w:r>
            <w:r>
              <w:rPr>
                <w:noProof/>
              </w:rPr>
              <w:fldChar w:fldCharType="separate"/>
            </w:r>
            <w:r w:rsidR="000B5DD4">
              <w:rPr>
                <w:noProof/>
              </w:rPr>
              <w:t>15</w:t>
            </w:r>
            <w:r>
              <w:rPr>
                <w:noProof/>
              </w:rPr>
              <w:fldChar w:fldCharType="end"/>
            </w:r>
          </w:hyperlink>
        </w:p>
        <w:p w14:paraId="55D83FA7" w14:textId="5C991AC5" w:rsidR="00670552" w:rsidRDefault="00670552">
          <w:pPr>
            <w:pStyle w:val="TM2"/>
            <w:tabs>
              <w:tab w:val="right" w:leader="dot" w:pos="9350"/>
            </w:tabs>
            <w:rPr>
              <w:noProof/>
            </w:rPr>
          </w:pPr>
          <w:hyperlink w:anchor="_Toc232967275" w:history="1">
            <w:r w:rsidRPr="0066409C">
              <w:rPr>
                <w:rStyle w:val="Lienhypertexte"/>
                <w:noProof/>
              </w:rPr>
              <w:t>6.2 Pourquoi cette thèse résiste à l'examen</w:t>
            </w:r>
            <w:r>
              <w:rPr>
                <w:noProof/>
              </w:rPr>
              <w:tab/>
            </w:r>
            <w:r>
              <w:rPr>
                <w:noProof/>
              </w:rPr>
              <w:fldChar w:fldCharType="begin"/>
            </w:r>
            <w:r>
              <w:rPr>
                <w:noProof/>
              </w:rPr>
              <w:instrText xml:space="preserve"> PAGEREF _Toc232967275 \h </w:instrText>
            </w:r>
            <w:r>
              <w:rPr>
                <w:noProof/>
              </w:rPr>
            </w:r>
            <w:r>
              <w:rPr>
                <w:noProof/>
              </w:rPr>
              <w:fldChar w:fldCharType="separate"/>
            </w:r>
            <w:r w:rsidR="000B5DD4">
              <w:rPr>
                <w:noProof/>
              </w:rPr>
              <w:t>15</w:t>
            </w:r>
            <w:r>
              <w:rPr>
                <w:noProof/>
              </w:rPr>
              <w:fldChar w:fldCharType="end"/>
            </w:r>
          </w:hyperlink>
        </w:p>
        <w:p w14:paraId="640EBBCA" w14:textId="67A041D4" w:rsidR="00670552" w:rsidRDefault="00670552">
          <w:pPr>
            <w:pStyle w:val="TM2"/>
            <w:tabs>
              <w:tab w:val="right" w:leader="dot" w:pos="9350"/>
            </w:tabs>
            <w:rPr>
              <w:noProof/>
            </w:rPr>
          </w:pPr>
          <w:hyperlink w:anchor="_Toc232967276" w:history="1">
            <w:r w:rsidRPr="0066409C">
              <w:rPr>
                <w:rStyle w:val="Lienhypertexte"/>
                <w:noProof/>
              </w:rPr>
              <w:t>6.3 Recommandation n°1 — Prioriser l'optimisation de la conversion</w:t>
            </w:r>
            <w:r>
              <w:rPr>
                <w:noProof/>
              </w:rPr>
              <w:tab/>
            </w:r>
            <w:r>
              <w:rPr>
                <w:noProof/>
              </w:rPr>
              <w:fldChar w:fldCharType="begin"/>
            </w:r>
            <w:r>
              <w:rPr>
                <w:noProof/>
              </w:rPr>
              <w:instrText xml:space="preserve"> PAGEREF _Toc232967276 \h </w:instrText>
            </w:r>
            <w:r>
              <w:rPr>
                <w:noProof/>
              </w:rPr>
            </w:r>
            <w:r>
              <w:rPr>
                <w:noProof/>
              </w:rPr>
              <w:fldChar w:fldCharType="separate"/>
            </w:r>
            <w:r w:rsidR="000B5DD4">
              <w:rPr>
                <w:noProof/>
              </w:rPr>
              <w:t>15</w:t>
            </w:r>
            <w:r>
              <w:rPr>
                <w:noProof/>
              </w:rPr>
              <w:fldChar w:fldCharType="end"/>
            </w:r>
          </w:hyperlink>
        </w:p>
        <w:p w14:paraId="24471139" w14:textId="48A96F92" w:rsidR="00670552" w:rsidRDefault="00670552">
          <w:pPr>
            <w:pStyle w:val="TM2"/>
            <w:tabs>
              <w:tab w:val="right" w:leader="dot" w:pos="9350"/>
            </w:tabs>
            <w:rPr>
              <w:noProof/>
            </w:rPr>
          </w:pPr>
          <w:hyperlink w:anchor="_Toc232967277" w:history="1">
            <w:r w:rsidRPr="0066409C">
              <w:rPr>
                <w:rStyle w:val="Lienhypertexte"/>
                <w:noProof/>
              </w:rPr>
              <w:t>6.4 Recommandation n°2 — Désigner des marchés prioritaires à investiguer</w:t>
            </w:r>
            <w:r>
              <w:rPr>
                <w:noProof/>
              </w:rPr>
              <w:tab/>
            </w:r>
            <w:r>
              <w:rPr>
                <w:noProof/>
              </w:rPr>
              <w:fldChar w:fldCharType="begin"/>
            </w:r>
            <w:r>
              <w:rPr>
                <w:noProof/>
              </w:rPr>
              <w:instrText xml:space="preserve"> PAGEREF _Toc232967277 \h </w:instrText>
            </w:r>
            <w:r>
              <w:rPr>
                <w:noProof/>
              </w:rPr>
            </w:r>
            <w:r>
              <w:rPr>
                <w:noProof/>
              </w:rPr>
              <w:fldChar w:fldCharType="separate"/>
            </w:r>
            <w:r w:rsidR="000B5DD4">
              <w:rPr>
                <w:noProof/>
              </w:rPr>
              <w:t>15</w:t>
            </w:r>
            <w:r>
              <w:rPr>
                <w:noProof/>
              </w:rPr>
              <w:fldChar w:fldCharType="end"/>
            </w:r>
          </w:hyperlink>
        </w:p>
        <w:p w14:paraId="556C6D34" w14:textId="14887539" w:rsidR="00670552" w:rsidRDefault="00670552">
          <w:pPr>
            <w:pStyle w:val="TM2"/>
            <w:tabs>
              <w:tab w:val="right" w:leader="dot" w:pos="9350"/>
            </w:tabs>
            <w:rPr>
              <w:noProof/>
            </w:rPr>
          </w:pPr>
          <w:hyperlink w:anchor="_Toc232967278" w:history="1">
            <w:r w:rsidRPr="0066409C">
              <w:rPr>
                <w:rStyle w:val="Lienhypertexte"/>
                <w:noProof/>
              </w:rPr>
              <w:t>6.5 Recommandation n°3 — Recalibrer le calendrier marketing autour de Kit Launch Season</w:t>
            </w:r>
            <w:r>
              <w:rPr>
                <w:noProof/>
              </w:rPr>
              <w:tab/>
            </w:r>
            <w:r>
              <w:rPr>
                <w:noProof/>
              </w:rPr>
              <w:fldChar w:fldCharType="begin"/>
            </w:r>
            <w:r>
              <w:rPr>
                <w:noProof/>
              </w:rPr>
              <w:instrText xml:space="preserve"> PAGEREF _Toc232967278 \h </w:instrText>
            </w:r>
            <w:r>
              <w:rPr>
                <w:noProof/>
              </w:rPr>
            </w:r>
            <w:r>
              <w:rPr>
                <w:noProof/>
              </w:rPr>
              <w:fldChar w:fldCharType="separate"/>
            </w:r>
            <w:r w:rsidR="000B5DD4">
              <w:rPr>
                <w:noProof/>
              </w:rPr>
              <w:t>16</w:t>
            </w:r>
            <w:r>
              <w:rPr>
                <w:noProof/>
              </w:rPr>
              <w:fldChar w:fldCharType="end"/>
            </w:r>
          </w:hyperlink>
        </w:p>
        <w:p w14:paraId="3BA65841" w14:textId="41B23DAD" w:rsidR="00670552" w:rsidRDefault="00670552">
          <w:pPr>
            <w:pStyle w:val="TM1"/>
            <w:tabs>
              <w:tab w:val="right" w:leader="dot" w:pos="9350"/>
            </w:tabs>
            <w:rPr>
              <w:noProof/>
            </w:rPr>
          </w:pPr>
          <w:hyperlink w:anchor="_Toc232967279" w:history="1">
            <w:r w:rsidRPr="0066409C">
              <w:rPr>
                <w:rStyle w:val="Lienhypertexte"/>
                <w:noProof/>
              </w:rPr>
              <w:t>7. Modélisation des données — Schéma en étoile</w:t>
            </w:r>
            <w:r>
              <w:rPr>
                <w:noProof/>
              </w:rPr>
              <w:tab/>
            </w:r>
            <w:r>
              <w:rPr>
                <w:noProof/>
              </w:rPr>
              <w:fldChar w:fldCharType="begin"/>
            </w:r>
            <w:r>
              <w:rPr>
                <w:noProof/>
              </w:rPr>
              <w:instrText xml:space="preserve"> PAGEREF _Toc232967279 \h </w:instrText>
            </w:r>
            <w:r>
              <w:rPr>
                <w:noProof/>
              </w:rPr>
            </w:r>
            <w:r>
              <w:rPr>
                <w:noProof/>
              </w:rPr>
              <w:fldChar w:fldCharType="separate"/>
            </w:r>
            <w:r w:rsidR="000B5DD4">
              <w:rPr>
                <w:noProof/>
              </w:rPr>
              <w:t>17</w:t>
            </w:r>
            <w:r>
              <w:rPr>
                <w:noProof/>
              </w:rPr>
              <w:fldChar w:fldCharType="end"/>
            </w:r>
          </w:hyperlink>
        </w:p>
        <w:p w14:paraId="779492D2" w14:textId="6A28B2C3" w:rsidR="00670552" w:rsidRDefault="00670552">
          <w:pPr>
            <w:pStyle w:val="TM2"/>
            <w:tabs>
              <w:tab w:val="right" w:leader="dot" w:pos="9350"/>
            </w:tabs>
            <w:rPr>
              <w:noProof/>
            </w:rPr>
          </w:pPr>
          <w:hyperlink w:anchor="_Toc232967280" w:history="1">
            <w:r w:rsidRPr="0066409C">
              <w:rPr>
                <w:rStyle w:val="Lienhypertexte"/>
                <w:noProof/>
              </w:rPr>
              <w:t>7.1 Principe directeur</w:t>
            </w:r>
            <w:r>
              <w:rPr>
                <w:noProof/>
              </w:rPr>
              <w:tab/>
            </w:r>
            <w:r>
              <w:rPr>
                <w:noProof/>
              </w:rPr>
              <w:fldChar w:fldCharType="begin"/>
            </w:r>
            <w:r>
              <w:rPr>
                <w:noProof/>
              </w:rPr>
              <w:instrText xml:space="preserve"> PAGEREF _Toc232967280 \h </w:instrText>
            </w:r>
            <w:r>
              <w:rPr>
                <w:noProof/>
              </w:rPr>
            </w:r>
            <w:r>
              <w:rPr>
                <w:noProof/>
              </w:rPr>
              <w:fldChar w:fldCharType="separate"/>
            </w:r>
            <w:r w:rsidR="000B5DD4">
              <w:rPr>
                <w:noProof/>
              </w:rPr>
              <w:t>17</w:t>
            </w:r>
            <w:r>
              <w:rPr>
                <w:noProof/>
              </w:rPr>
              <w:fldChar w:fldCharType="end"/>
            </w:r>
          </w:hyperlink>
        </w:p>
        <w:p w14:paraId="19D180FF" w14:textId="6C6AA604" w:rsidR="00670552" w:rsidRDefault="00670552">
          <w:pPr>
            <w:pStyle w:val="TM2"/>
            <w:tabs>
              <w:tab w:val="right" w:leader="dot" w:pos="9350"/>
            </w:tabs>
            <w:rPr>
              <w:noProof/>
            </w:rPr>
          </w:pPr>
          <w:hyperlink w:anchor="_Toc232967281" w:history="1">
            <w:r w:rsidRPr="0066409C">
              <w:rPr>
                <w:rStyle w:val="Lienhypertexte"/>
                <w:noProof/>
              </w:rPr>
              <w:t>7.2 Schéma retenu</w:t>
            </w:r>
            <w:r>
              <w:rPr>
                <w:noProof/>
              </w:rPr>
              <w:tab/>
            </w:r>
            <w:r>
              <w:rPr>
                <w:noProof/>
              </w:rPr>
              <w:fldChar w:fldCharType="begin"/>
            </w:r>
            <w:r>
              <w:rPr>
                <w:noProof/>
              </w:rPr>
              <w:instrText xml:space="preserve"> PAGEREF _Toc232967281 \h </w:instrText>
            </w:r>
            <w:r>
              <w:rPr>
                <w:noProof/>
              </w:rPr>
            </w:r>
            <w:r>
              <w:rPr>
                <w:noProof/>
              </w:rPr>
              <w:fldChar w:fldCharType="separate"/>
            </w:r>
            <w:r w:rsidR="000B5DD4">
              <w:rPr>
                <w:noProof/>
              </w:rPr>
              <w:t>17</w:t>
            </w:r>
            <w:r>
              <w:rPr>
                <w:noProof/>
              </w:rPr>
              <w:fldChar w:fldCharType="end"/>
            </w:r>
          </w:hyperlink>
        </w:p>
        <w:p w14:paraId="154E701C" w14:textId="29E32C1C" w:rsidR="00670552" w:rsidRDefault="00670552">
          <w:pPr>
            <w:pStyle w:val="TM2"/>
            <w:tabs>
              <w:tab w:val="right" w:leader="dot" w:pos="9350"/>
            </w:tabs>
            <w:rPr>
              <w:noProof/>
            </w:rPr>
          </w:pPr>
          <w:hyperlink w:anchor="_Toc232967282" w:history="1">
            <w:r w:rsidRPr="0066409C">
              <w:rPr>
                <w:rStyle w:val="Lienhypertexte"/>
                <w:noProof/>
              </w:rPr>
              <w:t>7.3 Limite structurelle assumée : DimProduct et DimCustomer ne peuvent pas se relier à FactTraffic</w:t>
            </w:r>
            <w:r>
              <w:rPr>
                <w:noProof/>
              </w:rPr>
              <w:tab/>
            </w:r>
            <w:r>
              <w:rPr>
                <w:noProof/>
              </w:rPr>
              <w:fldChar w:fldCharType="begin"/>
            </w:r>
            <w:r>
              <w:rPr>
                <w:noProof/>
              </w:rPr>
              <w:instrText xml:space="preserve"> PAGEREF _Toc232967282 \h </w:instrText>
            </w:r>
            <w:r>
              <w:rPr>
                <w:noProof/>
              </w:rPr>
            </w:r>
            <w:r>
              <w:rPr>
                <w:noProof/>
              </w:rPr>
              <w:fldChar w:fldCharType="separate"/>
            </w:r>
            <w:r w:rsidR="000B5DD4">
              <w:rPr>
                <w:noProof/>
              </w:rPr>
              <w:t>17</w:t>
            </w:r>
            <w:r>
              <w:rPr>
                <w:noProof/>
              </w:rPr>
              <w:fldChar w:fldCharType="end"/>
            </w:r>
          </w:hyperlink>
        </w:p>
        <w:p w14:paraId="7D2FA1DC" w14:textId="61B8C81F" w:rsidR="00670552" w:rsidRDefault="00670552">
          <w:pPr>
            <w:pStyle w:val="TM2"/>
            <w:tabs>
              <w:tab w:val="right" w:leader="dot" w:pos="9350"/>
            </w:tabs>
            <w:rPr>
              <w:noProof/>
            </w:rPr>
          </w:pPr>
          <w:hyperlink w:anchor="_Toc232967283" w:history="1">
            <w:r w:rsidRPr="0066409C">
              <w:rPr>
                <w:rStyle w:val="Lienhypertexte"/>
                <w:noProof/>
              </w:rPr>
              <w:t>7.4 Point de vigilance — dénormalisation existante</w:t>
            </w:r>
            <w:r>
              <w:rPr>
                <w:noProof/>
              </w:rPr>
              <w:tab/>
            </w:r>
            <w:r>
              <w:rPr>
                <w:noProof/>
              </w:rPr>
              <w:fldChar w:fldCharType="begin"/>
            </w:r>
            <w:r>
              <w:rPr>
                <w:noProof/>
              </w:rPr>
              <w:instrText xml:space="preserve"> PAGEREF _Toc232967283 \h </w:instrText>
            </w:r>
            <w:r>
              <w:rPr>
                <w:noProof/>
              </w:rPr>
            </w:r>
            <w:r>
              <w:rPr>
                <w:noProof/>
              </w:rPr>
              <w:fldChar w:fldCharType="separate"/>
            </w:r>
            <w:r w:rsidR="000B5DD4">
              <w:rPr>
                <w:noProof/>
              </w:rPr>
              <w:t>18</w:t>
            </w:r>
            <w:r>
              <w:rPr>
                <w:noProof/>
              </w:rPr>
              <w:fldChar w:fldCharType="end"/>
            </w:r>
          </w:hyperlink>
        </w:p>
        <w:p w14:paraId="27615DE6" w14:textId="68B4EE96" w:rsidR="00670552" w:rsidRDefault="00670552">
          <w:pPr>
            <w:pStyle w:val="TM2"/>
            <w:tabs>
              <w:tab w:val="right" w:leader="dot" w:pos="9350"/>
            </w:tabs>
            <w:rPr>
              <w:noProof/>
            </w:rPr>
          </w:pPr>
          <w:hyperlink w:anchor="_Toc232967284" w:history="1">
            <w:r w:rsidRPr="0066409C">
              <w:rPr>
                <w:rStyle w:val="Lienhypertexte"/>
                <w:noProof/>
              </w:rPr>
              <w:t>7.5 Table de dates et Time Intelligence</w:t>
            </w:r>
            <w:r>
              <w:rPr>
                <w:noProof/>
              </w:rPr>
              <w:tab/>
            </w:r>
            <w:r>
              <w:rPr>
                <w:noProof/>
              </w:rPr>
              <w:fldChar w:fldCharType="begin"/>
            </w:r>
            <w:r>
              <w:rPr>
                <w:noProof/>
              </w:rPr>
              <w:instrText xml:space="preserve"> PAGEREF _Toc232967284 \h </w:instrText>
            </w:r>
            <w:r>
              <w:rPr>
                <w:noProof/>
              </w:rPr>
            </w:r>
            <w:r>
              <w:rPr>
                <w:noProof/>
              </w:rPr>
              <w:fldChar w:fldCharType="separate"/>
            </w:r>
            <w:r w:rsidR="000B5DD4">
              <w:rPr>
                <w:noProof/>
              </w:rPr>
              <w:t>18</w:t>
            </w:r>
            <w:r>
              <w:rPr>
                <w:noProof/>
              </w:rPr>
              <w:fldChar w:fldCharType="end"/>
            </w:r>
          </w:hyperlink>
        </w:p>
        <w:p w14:paraId="5D5C0676" w14:textId="15959DBB" w:rsidR="00670552" w:rsidRDefault="00670552">
          <w:pPr>
            <w:pStyle w:val="TM1"/>
            <w:tabs>
              <w:tab w:val="right" w:leader="dot" w:pos="9350"/>
            </w:tabs>
            <w:rPr>
              <w:noProof/>
            </w:rPr>
          </w:pPr>
          <w:hyperlink w:anchor="_Toc232967285" w:history="1">
            <w:r w:rsidRPr="0066409C">
              <w:rPr>
                <w:rStyle w:val="Lienhypertexte"/>
                <w:noProof/>
              </w:rPr>
              <w:t>8. Mesures DAX</w:t>
            </w:r>
            <w:r>
              <w:rPr>
                <w:noProof/>
              </w:rPr>
              <w:tab/>
            </w:r>
            <w:r>
              <w:rPr>
                <w:noProof/>
              </w:rPr>
              <w:fldChar w:fldCharType="begin"/>
            </w:r>
            <w:r>
              <w:rPr>
                <w:noProof/>
              </w:rPr>
              <w:instrText xml:space="preserve"> PAGEREF _Toc232967285 \h </w:instrText>
            </w:r>
            <w:r>
              <w:rPr>
                <w:noProof/>
              </w:rPr>
            </w:r>
            <w:r>
              <w:rPr>
                <w:noProof/>
              </w:rPr>
              <w:fldChar w:fldCharType="separate"/>
            </w:r>
            <w:r w:rsidR="000B5DD4">
              <w:rPr>
                <w:noProof/>
              </w:rPr>
              <w:t>19</w:t>
            </w:r>
            <w:r>
              <w:rPr>
                <w:noProof/>
              </w:rPr>
              <w:fldChar w:fldCharType="end"/>
            </w:r>
          </w:hyperlink>
        </w:p>
        <w:p w14:paraId="2E70C8C4" w14:textId="0D6EC552" w:rsidR="00670552" w:rsidRDefault="00670552">
          <w:pPr>
            <w:pStyle w:val="TM2"/>
            <w:tabs>
              <w:tab w:val="right" w:leader="dot" w:pos="9350"/>
            </w:tabs>
            <w:rPr>
              <w:noProof/>
            </w:rPr>
          </w:pPr>
          <w:hyperlink w:anchor="_Toc232967286" w:history="1">
            <w:r w:rsidRPr="0066409C">
              <w:rPr>
                <w:rStyle w:val="Lienhypertexte"/>
                <w:noProof/>
              </w:rPr>
              <w:t>8.1 Groupe 1 — Mesures de base (FactSales)</w:t>
            </w:r>
            <w:r>
              <w:rPr>
                <w:noProof/>
              </w:rPr>
              <w:tab/>
            </w:r>
            <w:r>
              <w:rPr>
                <w:noProof/>
              </w:rPr>
              <w:fldChar w:fldCharType="begin"/>
            </w:r>
            <w:r>
              <w:rPr>
                <w:noProof/>
              </w:rPr>
              <w:instrText xml:space="preserve"> PAGEREF _Toc232967286 \h </w:instrText>
            </w:r>
            <w:r>
              <w:rPr>
                <w:noProof/>
              </w:rPr>
            </w:r>
            <w:r>
              <w:rPr>
                <w:noProof/>
              </w:rPr>
              <w:fldChar w:fldCharType="separate"/>
            </w:r>
            <w:r w:rsidR="000B5DD4">
              <w:rPr>
                <w:noProof/>
              </w:rPr>
              <w:t>19</w:t>
            </w:r>
            <w:r>
              <w:rPr>
                <w:noProof/>
              </w:rPr>
              <w:fldChar w:fldCharType="end"/>
            </w:r>
          </w:hyperlink>
        </w:p>
        <w:p w14:paraId="37D2D042" w14:textId="750BF06D" w:rsidR="00670552" w:rsidRDefault="00670552">
          <w:pPr>
            <w:pStyle w:val="TM2"/>
            <w:tabs>
              <w:tab w:val="right" w:leader="dot" w:pos="9350"/>
            </w:tabs>
            <w:rPr>
              <w:noProof/>
            </w:rPr>
          </w:pPr>
          <w:hyperlink w:anchor="_Toc232967287" w:history="1">
            <w:r w:rsidRPr="0066409C">
              <w:rPr>
                <w:rStyle w:val="Lienhypertexte"/>
                <w:noProof/>
              </w:rPr>
              <w:t>8.2 Groupe 2 — Mesures de marge</w:t>
            </w:r>
            <w:r>
              <w:rPr>
                <w:noProof/>
              </w:rPr>
              <w:tab/>
            </w:r>
            <w:r>
              <w:rPr>
                <w:noProof/>
              </w:rPr>
              <w:fldChar w:fldCharType="begin"/>
            </w:r>
            <w:r>
              <w:rPr>
                <w:noProof/>
              </w:rPr>
              <w:instrText xml:space="preserve"> PAGEREF _Toc232967287 \h </w:instrText>
            </w:r>
            <w:r>
              <w:rPr>
                <w:noProof/>
              </w:rPr>
            </w:r>
            <w:r>
              <w:rPr>
                <w:noProof/>
              </w:rPr>
              <w:fldChar w:fldCharType="separate"/>
            </w:r>
            <w:r w:rsidR="000B5DD4">
              <w:rPr>
                <w:noProof/>
              </w:rPr>
              <w:t>19</w:t>
            </w:r>
            <w:r>
              <w:rPr>
                <w:noProof/>
              </w:rPr>
              <w:fldChar w:fldCharType="end"/>
            </w:r>
          </w:hyperlink>
        </w:p>
        <w:p w14:paraId="2D8C51A3" w14:textId="15D2DD4B" w:rsidR="00670552" w:rsidRDefault="00670552">
          <w:pPr>
            <w:pStyle w:val="TM2"/>
            <w:tabs>
              <w:tab w:val="right" w:leader="dot" w:pos="9350"/>
            </w:tabs>
            <w:rPr>
              <w:noProof/>
            </w:rPr>
          </w:pPr>
          <w:hyperlink w:anchor="_Toc232967288" w:history="1">
            <w:r w:rsidRPr="0066409C">
              <w:rPr>
                <w:rStyle w:val="Lienhypertexte"/>
                <w:noProof/>
              </w:rPr>
              <w:t>8.3 Groupe 3 — Mesures de trafic (FactTraffic)</w:t>
            </w:r>
            <w:r>
              <w:rPr>
                <w:noProof/>
              </w:rPr>
              <w:tab/>
            </w:r>
            <w:r>
              <w:rPr>
                <w:noProof/>
              </w:rPr>
              <w:fldChar w:fldCharType="begin"/>
            </w:r>
            <w:r>
              <w:rPr>
                <w:noProof/>
              </w:rPr>
              <w:instrText xml:space="preserve"> PAGEREF _Toc232967288 \h </w:instrText>
            </w:r>
            <w:r>
              <w:rPr>
                <w:noProof/>
              </w:rPr>
            </w:r>
            <w:r>
              <w:rPr>
                <w:noProof/>
              </w:rPr>
              <w:fldChar w:fldCharType="separate"/>
            </w:r>
            <w:r w:rsidR="000B5DD4">
              <w:rPr>
                <w:noProof/>
              </w:rPr>
              <w:t>19</w:t>
            </w:r>
            <w:r>
              <w:rPr>
                <w:noProof/>
              </w:rPr>
              <w:fldChar w:fldCharType="end"/>
            </w:r>
          </w:hyperlink>
        </w:p>
        <w:p w14:paraId="7B24B600" w14:textId="328F6740" w:rsidR="00670552" w:rsidRDefault="00670552">
          <w:pPr>
            <w:pStyle w:val="TM2"/>
            <w:tabs>
              <w:tab w:val="right" w:leader="dot" w:pos="9350"/>
            </w:tabs>
            <w:rPr>
              <w:noProof/>
            </w:rPr>
          </w:pPr>
          <w:hyperlink w:anchor="_Toc232967289" w:history="1">
            <w:r w:rsidRPr="0066409C">
              <w:rPr>
                <w:rStyle w:val="Lienhypertexte"/>
                <w:noProof/>
              </w:rPr>
              <w:t>8.4 Groupe 4 — Les mesures au cœur de la thèse (Facteurs)</w:t>
            </w:r>
            <w:r>
              <w:rPr>
                <w:noProof/>
              </w:rPr>
              <w:tab/>
            </w:r>
            <w:r>
              <w:rPr>
                <w:noProof/>
              </w:rPr>
              <w:fldChar w:fldCharType="begin"/>
            </w:r>
            <w:r>
              <w:rPr>
                <w:noProof/>
              </w:rPr>
              <w:instrText xml:space="preserve"> PAGEREF _Toc232967289 \h </w:instrText>
            </w:r>
            <w:r>
              <w:rPr>
                <w:noProof/>
              </w:rPr>
            </w:r>
            <w:r>
              <w:rPr>
                <w:noProof/>
              </w:rPr>
              <w:fldChar w:fldCharType="separate"/>
            </w:r>
            <w:r w:rsidR="000B5DD4">
              <w:rPr>
                <w:noProof/>
              </w:rPr>
              <w:t>20</w:t>
            </w:r>
            <w:r>
              <w:rPr>
                <w:noProof/>
              </w:rPr>
              <w:fldChar w:fldCharType="end"/>
            </w:r>
          </w:hyperlink>
        </w:p>
        <w:p w14:paraId="4A670B65" w14:textId="324408A8" w:rsidR="00670552" w:rsidRDefault="00670552">
          <w:pPr>
            <w:pStyle w:val="TM2"/>
            <w:tabs>
              <w:tab w:val="right" w:leader="dot" w:pos="9350"/>
            </w:tabs>
            <w:rPr>
              <w:noProof/>
            </w:rPr>
          </w:pPr>
          <w:hyperlink w:anchor="_Toc232967290" w:history="1">
            <w:r w:rsidRPr="0066409C">
              <w:rPr>
                <w:rStyle w:val="Lienhypertexte"/>
                <w:noProof/>
              </w:rPr>
              <w:t>8.5 Groupe 5 — Time Intelligence</w:t>
            </w:r>
            <w:r>
              <w:rPr>
                <w:noProof/>
              </w:rPr>
              <w:tab/>
            </w:r>
            <w:r>
              <w:rPr>
                <w:noProof/>
              </w:rPr>
              <w:fldChar w:fldCharType="begin"/>
            </w:r>
            <w:r>
              <w:rPr>
                <w:noProof/>
              </w:rPr>
              <w:instrText xml:space="preserve"> PAGEREF _Toc232967290 \h </w:instrText>
            </w:r>
            <w:r>
              <w:rPr>
                <w:noProof/>
              </w:rPr>
            </w:r>
            <w:r>
              <w:rPr>
                <w:noProof/>
              </w:rPr>
              <w:fldChar w:fldCharType="separate"/>
            </w:r>
            <w:r w:rsidR="000B5DD4">
              <w:rPr>
                <w:noProof/>
              </w:rPr>
              <w:t>20</w:t>
            </w:r>
            <w:r>
              <w:rPr>
                <w:noProof/>
              </w:rPr>
              <w:fldChar w:fldCharType="end"/>
            </w:r>
          </w:hyperlink>
        </w:p>
        <w:p w14:paraId="6E2D0305" w14:textId="456E5B9B" w:rsidR="00670552" w:rsidRDefault="00670552">
          <w:pPr>
            <w:pStyle w:val="TM2"/>
            <w:tabs>
              <w:tab w:val="right" w:leader="dot" w:pos="9350"/>
            </w:tabs>
            <w:rPr>
              <w:noProof/>
            </w:rPr>
          </w:pPr>
          <w:hyperlink w:anchor="_Toc232967291" w:history="1">
            <w:r w:rsidRPr="0066409C">
              <w:rPr>
                <w:rStyle w:val="Lienhypertexte"/>
                <w:noProof/>
              </w:rPr>
              <w:t>8.6 Groupe 6 — Mesures de diagnostic régional, comparaison fixe 2021 → 2025</w:t>
            </w:r>
            <w:r>
              <w:rPr>
                <w:noProof/>
              </w:rPr>
              <w:tab/>
            </w:r>
            <w:r>
              <w:rPr>
                <w:noProof/>
              </w:rPr>
              <w:fldChar w:fldCharType="begin"/>
            </w:r>
            <w:r>
              <w:rPr>
                <w:noProof/>
              </w:rPr>
              <w:instrText xml:space="preserve"> PAGEREF _Toc232967291 \h </w:instrText>
            </w:r>
            <w:r>
              <w:rPr>
                <w:noProof/>
              </w:rPr>
            </w:r>
            <w:r>
              <w:rPr>
                <w:noProof/>
              </w:rPr>
              <w:fldChar w:fldCharType="separate"/>
            </w:r>
            <w:r w:rsidR="000B5DD4">
              <w:rPr>
                <w:noProof/>
              </w:rPr>
              <w:t>20</w:t>
            </w:r>
            <w:r>
              <w:rPr>
                <w:noProof/>
              </w:rPr>
              <w:fldChar w:fldCharType="end"/>
            </w:r>
          </w:hyperlink>
        </w:p>
        <w:p w14:paraId="4FD9D525" w14:textId="364A5FD6" w:rsidR="00670552" w:rsidRDefault="00670552">
          <w:pPr>
            <w:pStyle w:val="TM1"/>
            <w:tabs>
              <w:tab w:val="right" w:leader="dot" w:pos="9350"/>
            </w:tabs>
            <w:rPr>
              <w:noProof/>
            </w:rPr>
          </w:pPr>
          <w:hyperlink w:anchor="_Toc232967292" w:history="1">
            <w:r w:rsidRPr="0066409C">
              <w:rPr>
                <w:rStyle w:val="Lienhypertexte"/>
                <w:noProof/>
              </w:rPr>
              <w:t>9. Colonnes calculées et transformations Power Query</w:t>
            </w:r>
            <w:r>
              <w:rPr>
                <w:noProof/>
              </w:rPr>
              <w:tab/>
            </w:r>
            <w:r>
              <w:rPr>
                <w:noProof/>
              </w:rPr>
              <w:fldChar w:fldCharType="begin"/>
            </w:r>
            <w:r>
              <w:rPr>
                <w:noProof/>
              </w:rPr>
              <w:instrText xml:space="preserve"> PAGEREF _Toc232967292 \h </w:instrText>
            </w:r>
            <w:r>
              <w:rPr>
                <w:noProof/>
              </w:rPr>
            </w:r>
            <w:r>
              <w:rPr>
                <w:noProof/>
              </w:rPr>
              <w:fldChar w:fldCharType="separate"/>
            </w:r>
            <w:r w:rsidR="000B5DD4">
              <w:rPr>
                <w:noProof/>
              </w:rPr>
              <w:t>22</w:t>
            </w:r>
            <w:r>
              <w:rPr>
                <w:noProof/>
              </w:rPr>
              <w:fldChar w:fldCharType="end"/>
            </w:r>
          </w:hyperlink>
        </w:p>
        <w:p w14:paraId="72D2CFDE" w14:textId="0E0F251E" w:rsidR="00670552" w:rsidRDefault="00670552">
          <w:pPr>
            <w:pStyle w:val="TM2"/>
            <w:tabs>
              <w:tab w:val="right" w:leader="dot" w:pos="9350"/>
            </w:tabs>
            <w:rPr>
              <w:noProof/>
            </w:rPr>
          </w:pPr>
          <w:hyperlink w:anchor="_Toc232967293" w:history="1">
            <w:r w:rsidRPr="0066409C">
              <w:rPr>
                <w:rStyle w:val="Lienhypertexte"/>
                <w:noProof/>
              </w:rPr>
              <w:t>9.1 Nettoyage PromoType — Power Query, pas DAX</w:t>
            </w:r>
            <w:r>
              <w:rPr>
                <w:noProof/>
              </w:rPr>
              <w:tab/>
            </w:r>
            <w:r>
              <w:rPr>
                <w:noProof/>
              </w:rPr>
              <w:fldChar w:fldCharType="begin"/>
            </w:r>
            <w:r>
              <w:rPr>
                <w:noProof/>
              </w:rPr>
              <w:instrText xml:space="preserve"> PAGEREF _Toc232967293 \h </w:instrText>
            </w:r>
            <w:r>
              <w:rPr>
                <w:noProof/>
              </w:rPr>
            </w:r>
            <w:r>
              <w:rPr>
                <w:noProof/>
              </w:rPr>
              <w:fldChar w:fldCharType="separate"/>
            </w:r>
            <w:r w:rsidR="000B5DD4">
              <w:rPr>
                <w:noProof/>
              </w:rPr>
              <w:t>22</w:t>
            </w:r>
            <w:r>
              <w:rPr>
                <w:noProof/>
              </w:rPr>
              <w:fldChar w:fldCharType="end"/>
            </w:r>
          </w:hyperlink>
        </w:p>
        <w:p w14:paraId="1C7D7947" w14:textId="4F633DE9" w:rsidR="00670552" w:rsidRDefault="00670552">
          <w:pPr>
            <w:pStyle w:val="TM2"/>
            <w:tabs>
              <w:tab w:val="right" w:leader="dot" w:pos="9350"/>
            </w:tabs>
            <w:rPr>
              <w:noProof/>
            </w:rPr>
          </w:pPr>
          <w:hyperlink w:anchor="_Toc232967294" w:history="1">
            <w:r w:rsidRPr="0066409C">
              <w:rPr>
                <w:rStyle w:val="Lienhypertexte"/>
                <w:noProof/>
              </w:rPr>
              <w:t>9.2 Colonne calculée — Price Tier (DimProduct)</w:t>
            </w:r>
            <w:r>
              <w:rPr>
                <w:noProof/>
              </w:rPr>
              <w:tab/>
            </w:r>
            <w:r>
              <w:rPr>
                <w:noProof/>
              </w:rPr>
              <w:fldChar w:fldCharType="begin"/>
            </w:r>
            <w:r>
              <w:rPr>
                <w:noProof/>
              </w:rPr>
              <w:instrText xml:space="preserve"> PAGEREF _Toc232967294 \h </w:instrText>
            </w:r>
            <w:r>
              <w:rPr>
                <w:noProof/>
              </w:rPr>
            </w:r>
            <w:r>
              <w:rPr>
                <w:noProof/>
              </w:rPr>
              <w:fldChar w:fldCharType="separate"/>
            </w:r>
            <w:r w:rsidR="000B5DD4">
              <w:rPr>
                <w:noProof/>
              </w:rPr>
              <w:t>22</w:t>
            </w:r>
            <w:r>
              <w:rPr>
                <w:noProof/>
              </w:rPr>
              <w:fldChar w:fldCharType="end"/>
            </w:r>
          </w:hyperlink>
        </w:p>
        <w:p w14:paraId="14A25590" w14:textId="2FE9EFAF" w:rsidR="00670552" w:rsidRDefault="00670552">
          <w:pPr>
            <w:pStyle w:val="TM2"/>
            <w:tabs>
              <w:tab w:val="right" w:leader="dot" w:pos="9350"/>
            </w:tabs>
            <w:rPr>
              <w:noProof/>
            </w:rPr>
          </w:pPr>
          <w:hyperlink w:anchor="_Toc232967295" w:history="1">
            <w:r w:rsidRPr="0066409C">
              <w:rPr>
                <w:rStyle w:val="Lienhypertexte"/>
                <w:noProof/>
              </w:rPr>
              <w:t>9.3 Colonne calculée — Acquisition Year (DimCustomer)</w:t>
            </w:r>
            <w:r>
              <w:rPr>
                <w:noProof/>
              </w:rPr>
              <w:tab/>
            </w:r>
            <w:r>
              <w:rPr>
                <w:noProof/>
              </w:rPr>
              <w:fldChar w:fldCharType="begin"/>
            </w:r>
            <w:r>
              <w:rPr>
                <w:noProof/>
              </w:rPr>
              <w:instrText xml:space="preserve"> PAGEREF _Toc232967295 \h </w:instrText>
            </w:r>
            <w:r>
              <w:rPr>
                <w:noProof/>
              </w:rPr>
            </w:r>
            <w:r>
              <w:rPr>
                <w:noProof/>
              </w:rPr>
              <w:fldChar w:fldCharType="separate"/>
            </w:r>
            <w:r w:rsidR="000B5DD4">
              <w:rPr>
                <w:noProof/>
              </w:rPr>
              <w:t>22</w:t>
            </w:r>
            <w:r>
              <w:rPr>
                <w:noProof/>
              </w:rPr>
              <w:fldChar w:fldCharType="end"/>
            </w:r>
          </w:hyperlink>
        </w:p>
        <w:p w14:paraId="32B934B4" w14:textId="6857982A" w:rsidR="00670552" w:rsidRDefault="00670552">
          <w:pPr>
            <w:pStyle w:val="TM2"/>
            <w:tabs>
              <w:tab w:val="right" w:leader="dot" w:pos="9350"/>
            </w:tabs>
            <w:rPr>
              <w:noProof/>
            </w:rPr>
          </w:pPr>
          <w:hyperlink w:anchor="_Toc232967296" w:history="1">
            <w:r w:rsidRPr="0066409C">
              <w:rPr>
                <w:rStyle w:val="Lienhypertexte"/>
                <w:noProof/>
              </w:rPr>
              <w:t>9.4 Table calculée — décision de ne pas en créer</w:t>
            </w:r>
            <w:r>
              <w:rPr>
                <w:noProof/>
              </w:rPr>
              <w:tab/>
            </w:r>
            <w:r>
              <w:rPr>
                <w:noProof/>
              </w:rPr>
              <w:fldChar w:fldCharType="begin"/>
            </w:r>
            <w:r>
              <w:rPr>
                <w:noProof/>
              </w:rPr>
              <w:instrText xml:space="preserve"> PAGEREF _Toc232967296 \h </w:instrText>
            </w:r>
            <w:r>
              <w:rPr>
                <w:noProof/>
              </w:rPr>
            </w:r>
            <w:r>
              <w:rPr>
                <w:noProof/>
              </w:rPr>
              <w:fldChar w:fldCharType="separate"/>
            </w:r>
            <w:r w:rsidR="000B5DD4">
              <w:rPr>
                <w:noProof/>
              </w:rPr>
              <w:t>23</w:t>
            </w:r>
            <w:r>
              <w:rPr>
                <w:noProof/>
              </w:rPr>
              <w:fldChar w:fldCharType="end"/>
            </w:r>
          </w:hyperlink>
        </w:p>
        <w:p w14:paraId="0627AA7F" w14:textId="49F14933" w:rsidR="00670552" w:rsidRDefault="00670552">
          <w:pPr>
            <w:pStyle w:val="TM2"/>
            <w:tabs>
              <w:tab w:val="right" w:leader="dot" w:pos="9350"/>
            </w:tabs>
            <w:rPr>
              <w:noProof/>
            </w:rPr>
          </w:pPr>
          <w:hyperlink w:anchor="_Toc232967297" w:history="1">
            <w:r w:rsidRPr="0066409C">
              <w:rPr>
                <w:rStyle w:val="Lienhypertexte"/>
                <w:noProof/>
              </w:rPr>
              <w:t>9.5 Synthèse — colonne, mesure, ou transformation Power Query ?</w:t>
            </w:r>
            <w:r>
              <w:rPr>
                <w:noProof/>
              </w:rPr>
              <w:tab/>
            </w:r>
            <w:r>
              <w:rPr>
                <w:noProof/>
              </w:rPr>
              <w:fldChar w:fldCharType="begin"/>
            </w:r>
            <w:r>
              <w:rPr>
                <w:noProof/>
              </w:rPr>
              <w:instrText xml:space="preserve"> PAGEREF _Toc232967297 \h </w:instrText>
            </w:r>
            <w:r>
              <w:rPr>
                <w:noProof/>
              </w:rPr>
            </w:r>
            <w:r>
              <w:rPr>
                <w:noProof/>
              </w:rPr>
              <w:fldChar w:fldCharType="separate"/>
            </w:r>
            <w:r w:rsidR="000B5DD4">
              <w:rPr>
                <w:noProof/>
              </w:rPr>
              <w:t>23</w:t>
            </w:r>
            <w:r>
              <w:rPr>
                <w:noProof/>
              </w:rPr>
              <w:fldChar w:fldCharType="end"/>
            </w:r>
          </w:hyperlink>
        </w:p>
        <w:p w14:paraId="3AC47A17" w14:textId="25F6AF0B" w:rsidR="00670552" w:rsidRDefault="00670552">
          <w:pPr>
            <w:pStyle w:val="TM1"/>
            <w:tabs>
              <w:tab w:val="right" w:leader="dot" w:pos="9350"/>
            </w:tabs>
            <w:rPr>
              <w:noProof/>
            </w:rPr>
          </w:pPr>
          <w:hyperlink w:anchor="_Toc232967298" w:history="1">
            <w:r w:rsidRPr="0066409C">
              <w:rPr>
                <w:rStyle w:val="Lienhypertexte"/>
                <w:noProof/>
              </w:rPr>
              <w:t>10. Conception du rapport Power BI — structure des 5 pages</w:t>
            </w:r>
            <w:r>
              <w:rPr>
                <w:noProof/>
              </w:rPr>
              <w:tab/>
            </w:r>
            <w:r>
              <w:rPr>
                <w:noProof/>
              </w:rPr>
              <w:fldChar w:fldCharType="begin"/>
            </w:r>
            <w:r>
              <w:rPr>
                <w:noProof/>
              </w:rPr>
              <w:instrText xml:space="preserve"> PAGEREF _Toc232967298 \h </w:instrText>
            </w:r>
            <w:r>
              <w:rPr>
                <w:noProof/>
              </w:rPr>
            </w:r>
            <w:r>
              <w:rPr>
                <w:noProof/>
              </w:rPr>
              <w:fldChar w:fldCharType="separate"/>
            </w:r>
            <w:r w:rsidR="000B5DD4">
              <w:rPr>
                <w:noProof/>
              </w:rPr>
              <w:t>24</w:t>
            </w:r>
            <w:r>
              <w:rPr>
                <w:noProof/>
              </w:rPr>
              <w:fldChar w:fldCharType="end"/>
            </w:r>
          </w:hyperlink>
        </w:p>
        <w:p w14:paraId="1E8CA7CA" w14:textId="1480F52D" w:rsidR="00670552" w:rsidRDefault="00670552">
          <w:pPr>
            <w:pStyle w:val="TM2"/>
            <w:tabs>
              <w:tab w:val="right" w:leader="dot" w:pos="9350"/>
            </w:tabs>
            <w:rPr>
              <w:noProof/>
            </w:rPr>
          </w:pPr>
          <w:hyperlink w:anchor="_Toc232967299" w:history="1">
            <w:r w:rsidRPr="0066409C">
              <w:rPr>
                <w:rStyle w:val="Lienhypertexte"/>
                <w:noProof/>
              </w:rPr>
              <w:t>10.1 Page 1 — Vue d'ensemble exécutive</w:t>
            </w:r>
            <w:r>
              <w:rPr>
                <w:noProof/>
              </w:rPr>
              <w:tab/>
            </w:r>
            <w:r>
              <w:rPr>
                <w:noProof/>
              </w:rPr>
              <w:fldChar w:fldCharType="begin"/>
            </w:r>
            <w:r>
              <w:rPr>
                <w:noProof/>
              </w:rPr>
              <w:instrText xml:space="preserve"> PAGEREF _Toc232967299 \h </w:instrText>
            </w:r>
            <w:r>
              <w:rPr>
                <w:noProof/>
              </w:rPr>
            </w:r>
            <w:r>
              <w:rPr>
                <w:noProof/>
              </w:rPr>
              <w:fldChar w:fldCharType="separate"/>
            </w:r>
            <w:r w:rsidR="000B5DD4">
              <w:rPr>
                <w:noProof/>
              </w:rPr>
              <w:t>24</w:t>
            </w:r>
            <w:r>
              <w:rPr>
                <w:noProof/>
              </w:rPr>
              <w:fldChar w:fldCharType="end"/>
            </w:r>
          </w:hyperlink>
        </w:p>
        <w:p w14:paraId="150DA549" w14:textId="6FA1FD9C" w:rsidR="00670552" w:rsidRDefault="00670552">
          <w:pPr>
            <w:pStyle w:val="TM2"/>
            <w:tabs>
              <w:tab w:val="right" w:leader="dot" w:pos="9350"/>
            </w:tabs>
            <w:rPr>
              <w:noProof/>
            </w:rPr>
          </w:pPr>
          <w:hyperlink w:anchor="_Toc232967300" w:history="1">
            <w:r w:rsidRPr="0066409C">
              <w:rPr>
                <w:rStyle w:val="Lienhypertexte"/>
                <w:noProof/>
              </w:rPr>
              <w:t>10.2 Page 2 — Diagnostic Facteurs (cœur de la thèse)</w:t>
            </w:r>
            <w:r>
              <w:rPr>
                <w:noProof/>
              </w:rPr>
              <w:tab/>
            </w:r>
            <w:r>
              <w:rPr>
                <w:noProof/>
              </w:rPr>
              <w:fldChar w:fldCharType="begin"/>
            </w:r>
            <w:r>
              <w:rPr>
                <w:noProof/>
              </w:rPr>
              <w:instrText xml:space="preserve"> PAGEREF _Toc232967300 \h </w:instrText>
            </w:r>
            <w:r>
              <w:rPr>
                <w:noProof/>
              </w:rPr>
            </w:r>
            <w:r>
              <w:rPr>
                <w:noProof/>
              </w:rPr>
              <w:fldChar w:fldCharType="separate"/>
            </w:r>
            <w:r w:rsidR="000B5DD4">
              <w:rPr>
                <w:noProof/>
              </w:rPr>
              <w:t>24</w:t>
            </w:r>
            <w:r>
              <w:rPr>
                <w:noProof/>
              </w:rPr>
              <w:fldChar w:fldCharType="end"/>
            </w:r>
          </w:hyperlink>
        </w:p>
        <w:p w14:paraId="478A9E23" w14:textId="5F6CDECF" w:rsidR="00670552" w:rsidRDefault="00670552">
          <w:pPr>
            <w:pStyle w:val="TM2"/>
            <w:tabs>
              <w:tab w:val="right" w:leader="dot" w:pos="9350"/>
            </w:tabs>
            <w:rPr>
              <w:noProof/>
            </w:rPr>
          </w:pPr>
          <w:hyperlink w:anchor="_Toc232967301" w:history="1">
            <w:r w:rsidRPr="0066409C">
              <w:rPr>
                <w:rStyle w:val="Lienhypertexte"/>
                <w:noProof/>
              </w:rPr>
              <w:t>10.3 Page 3 — Diagnostic régional</w:t>
            </w:r>
            <w:r>
              <w:rPr>
                <w:noProof/>
              </w:rPr>
              <w:tab/>
            </w:r>
            <w:r>
              <w:rPr>
                <w:noProof/>
              </w:rPr>
              <w:fldChar w:fldCharType="begin"/>
            </w:r>
            <w:r>
              <w:rPr>
                <w:noProof/>
              </w:rPr>
              <w:instrText xml:space="preserve"> PAGEREF _Toc232967301 \h </w:instrText>
            </w:r>
            <w:r>
              <w:rPr>
                <w:noProof/>
              </w:rPr>
            </w:r>
            <w:r>
              <w:rPr>
                <w:noProof/>
              </w:rPr>
              <w:fldChar w:fldCharType="separate"/>
            </w:r>
            <w:r w:rsidR="000B5DD4">
              <w:rPr>
                <w:noProof/>
              </w:rPr>
              <w:t>24</w:t>
            </w:r>
            <w:r>
              <w:rPr>
                <w:noProof/>
              </w:rPr>
              <w:fldChar w:fldCharType="end"/>
            </w:r>
          </w:hyperlink>
        </w:p>
        <w:p w14:paraId="2BE17C88" w14:textId="6DF9A576" w:rsidR="00670552" w:rsidRDefault="00670552">
          <w:pPr>
            <w:pStyle w:val="TM2"/>
            <w:tabs>
              <w:tab w:val="right" w:leader="dot" w:pos="9350"/>
            </w:tabs>
            <w:rPr>
              <w:noProof/>
            </w:rPr>
          </w:pPr>
          <w:hyperlink w:anchor="_Toc232967302" w:history="1">
            <w:r w:rsidRPr="0066409C">
              <w:rPr>
                <w:rStyle w:val="Lienhypertexte"/>
                <w:noProof/>
              </w:rPr>
              <w:t>10.4 Page 4 — Diagnostic saisonnier</w:t>
            </w:r>
            <w:r>
              <w:rPr>
                <w:noProof/>
              </w:rPr>
              <w:tab/>
            </w:r>
            <w:r>
              <w:rPr>
                <w:noProof/>
              </w:rPr>
              <w:fldChar w:fldCharType="begin"/>
            </w:r>
            <w:r>
              <w:rPr>
                <w:noProof/>
              </w:rPr>
              <w:instrText xml:space="preserve"> PAGEREF _Toc232967302 \h </w:instrText>
            </w:r>
            <w:r>
              <w:rPr>
                <w:noProof/>
              </w:rPr>
            </w:r>
            <w:r>
              <w:rPr>
                <w:noProof/>
              </w:rPr>
              <w:fldChar w:fldCharType="separate"/>
            </w:r>
            <w:r w:rsidR="000B5DD4">
              <w:rPr>
                <w:noProof/>
              </w:rPr>
              <w:t>25</w:t>
            </w:r>
            <w:r>
              <w:rPr>
                <w:noProof/>
              </w:rPr>
              <w:fldChar w:fldCharType="end"/>
            </w:r>
          </w:hyperlink>
        </w:p>
        <w:p w14:paraId="047342C1" w14:textId="463661F5" w:rsidR="00670552" w:rsidRDefault="00670552">
          <w:pPr>
            <w:pStyle w:val="TM2"/>
            <w:tabs>
              <w:tab w:val="right" w:leader="dot" w:pos="9350"/>
            </w:tabs>
            <w:rPr>
              <w:noProof/>
            </w:rPr>
          </w:pPr>
          <w:hyperlink w:anchor="_Toc232967303" w:history="1">
            <w:r w:rsidRPr="0066409C">
              <w:rPr>
                <w:rStyle w:val="Lienhypertexte"/>
                <w:noProof/>
              </w:rPr>
              <w:t>10.5 Page 5 — Recommandations stratégiques</w:t>
            </w:r>
            <w:r>
              <w:rPr>
                <w:noProof/>
              </w:rPr>
              <w:tab/>
            </w:r>
            <w:r>
              <w:rPr>
                <w:noProof/>
              </w:rPr>
              <w:fldChar w:fldCharType="begin"/>
            </w:r>
            <w:r>
              <w:rPr>
                <w:noProof/>
              </w:rPr>
              <w:instrText xml:space="preserve"> PAGEREF _Toc232967303 \h </w:instrText>
            </w:r>
            <w:r>
              <w:rPr>
                <w:noProof/>
              </w:rPr>
            </w:r>
            <w:r>
              <w:rPr>
                <w:noProof/>
              </w:rPr>
              <w:fldChar w:fldCharType="separate"/>
            </w:r>
            <w:r w:rsidR="000B5DD4">
              <w:rPr>
                <w:noProof/>
              </w:rPr>
              <w:t>25</w:t>
            </w:r>
            <w:r>
              <w:rPr>
                <w:noProof/>
              </w:rPr>
              <w:fldChar w:fldCharType="end"/>
            </w:r>
          </w:hyperlink>
        </w:p>
        <w:p w14:paraId="54D49551" w14:textId="7E39797D" w:rsidR="00670552" w:rsidRDefault="00670552">
          <w:pPr>
            <w:pStyle w:val="TM2"/>
            <w:tabs>
              <w:tab w:val="right" w:leader="dot" w:pos="9350"/>
            </w:tabs>
            <w:rPr>
              <w:noProof/>
            </w:rPr>
          </w:pPr>
          <w:hyperlink w:anchor="_Toc232967304" w:history="1">
            <w:r w:rsidRPr="0066409C">
              <w:rPr>
                <w:rStyle w:val="Lienhypertexte"/>
                <w:noProof/>
              </w:rPr>
              <w:t>10.6 Le visuel le plus important du rapport</w:t>
            </w:r>
            <w:r>
              <w:rPr>
                <w:noProof/>
              </w:rPr>
              <w:tab/>
            </w:r>
            <w:r>
              <w:rPr>
                <w:noProof/>
              </w:rPr>
              <w:fldChar w:fldCharType="begin"/>
            </w:r>
            <w:r>
              <w:rPr>
                <w:noProof/>
              </w:rPr>
              <w:instrText xml:space="preserve"> PAGEREF _Toc232967304 \h </w:instrText>
            </w:r>
            <w:r>
              <w:rPr>
                <w:noProof/>
              </w:rPr>
            </w:r>
            <w:r>
              <w:rPr>
                <w:noProof/>
              </w:rPr>
              <w:fldChar w:fldCharType="separate"/>
            </w:r>
            <w:r w:rsidR="000B5DD4">
              <w:rPr>
                <w:noProof/>
              </w:rPr>
              <w:t>25</w:t>
            </w:r>
            <w:r>
              <w:rPr>
                <w:noProof/>
              </w:rPr>
              <w:fldChar w:fldCharType="end"/>
            </w:r>
          </w:hyperlink>
        </w:p>
        <w:p w14:paraId="7A712EE5" w14:textId="7BD3E980" w:rsidR="00670552" w:rsidRDefault="00670552">
          <w:pPr>
            <w:pStyle w:val="TM2"/>
            <w:tabs>
              <w:tab w:val="right" w:leader="dot" w:pos="9350"/>
            </w:tabs>
            <w:rPr>
              <w:noProof/>
            </w:rPr>
          </w:pPr>
          <w:hyperlink w:anchor="_Toc232967305" w:history="1">
            <w:r w:rsidRPr="0066409C">
              <w:rPr>
                <w:rStyle w:val="Lienhypertexte"/>
                <w:noProof/>
              </w:rPr>
              <w:t>10.7 Exigences d'accessibilité (obligatoires, non optionnelles)</w:t>
            </w:r>
            <w:r>
              <w:rPr>
                <w:noProof/>
              </w:rPr>
              <w:tab/>
            </w:r>
            <w:r>
              <w:rPr>
                <w:noProof/>
              </w:rPr>
              <w:fldChar w:fldCharType="begin"/>
            </w:r>
            <w:r>
              <w:rPr>
                <w:noProof/>
              </w:rPr>
              <w:instrText xml:space="preserve"> PAGEREF _Toc232967305 \h </w:instrText>
            </w:r>
            <w:r>
              <w:rPr>
                <w:noProof/>
              </w:rPr>
            </w:r>
            <w:r>
              <w:rPr>
                <w:noProof/>
              </w:rPr>
              <w:fldChar w:fldCharType="separate"/>
            </w:r>
            <w:r w:rsidR="000B5DD4">
              <w:rPr>
                <w:noProof/>
              </w:rPr>
              <w:t>25</w:t>
            </w:r>
            <w:r>
              <w:rPr>
                <w:noProof/>
              </w:rPr>
              <w:fldChar w:fldCharType="end"/>
            </w:r>
          </w:hyperlink>
        </w:p>
        <w:p w14:paraId="63210BAA" w14:textId="3F727961" w:rsidR="00670552" w:rsidRDefault="00670552">
          <w:pPr>
            <w:pStyle w:val="TM1"/>
            <w:tabs>
              <w:tab w:val="right" w:leader="dot" w:pos="9350"/>
            </w:tabs>
            <w:rPr>
              <w:noProof/>
            </w:rPr>
          </w:pPr>
          <w:hyperlink w:anchor="_Toc232967306" w:history="1">
            <w:r w:rsidRPr="0066409C">
              <w:rPr>
                <w:rStyle w:val="Lienhypertexte"/>
                <w:noProof/>
              </w:rPr>
              <w:t>11. Data storytelling — script de présentation exécutive</w:t>
            </w:r>
            <w:r>
              <w:rPr>
                <w:noProof/>
              </w:rPr>
              <w:tab/>
            </w:r>
            <w:r>
              <w:rPr>
                <w:noProof/>
              </w:rPr>
              <w:fldChar w:fldCharType="begin"/>
            </w:r>
            <w:r>
              <w:rPr>
                <w:noProof/>
              </w:rPr>
              <w:instrText xml:space="preserve"> PAGEREF _Toc232967306 \h </w:instrText>
            </w:r>
            <w:r>
              <w:rPr>
                <w:noProof/>
              </w:rPr>
            </w:r>
            <w:r>
              <w:rPr>
                <w:noProof/>
              </w:rPr>
              <w:fldChar w:fldCharType="separate"/>
            </w:r>
            <w:r w:rsidR="000B5DD4">
              <w:rPr>
                <w:noProof/>
              </w:rPr>
              <w:t>27</w:t>
            </w:r>
            <w:r>
              <w:rPr>
                <w:noProof/>
              </w:rPr>
              <w:fldChar w:fldCharType="end"/>
            </w:r>
          </w:hyperlink>
        </w:p>
        <w:p w14:paraId="05C957FF" w14:textId="20FBDCA7" w:rsidR="00670552" w:rsidRDefault="00670552">
          <w:pPr>
            <w:pStyle w:val="TM3"/>
            <w:tabs>
              <w:tab w:val="right" w:leader="dot" w:pos="9350"/>
            </w:tabs>
            <w:rPr>
              <w:noProof/>
            </w:rPr>
          </w:pPr>
          <w:hyperlink w:anchor="_Toc232967307" w:history="1">
            <w:r w:rsidRPr="0066409C">
              <w:rPr>
                <w:rStyle w:val="Lienhypertexte"/>
                <w:noProof/>
              </w:rPr>
              <w:t>Ouverture (10 secondes)</w:t>
            </w:r>
            <w:r>
              <w:rPr>
                <w:noProof/>
              </w:rPr>
              <w:tab/>
            </w:r>
            <w:r>
              <w:rPr>
                <w:noProof/>
              </w:rPr>
              <w:fldChar w:fldCharType="begin"/>
            </w:r>
            <w:r>
              <w:rPr>
                <w:noProof/>
              </w:rPr>
              <w:instrText xml:space="preserve"> PAGEREF _Toc232967307 \h </w:instrText>
            </w:r>
            <w:r>
              <w:rPr>
                <w:noProof/>
              </w:rPr>
            </w:r>
            <w:r>
              <w:rPr>
                <w:noProof/>
              </w:rPr>
              <w:fldChar w:fldCharType="separate"/>
            </w:r>
            <w:r w:rsidR="000B5DD4">
              <w:rPr>
                <w:noProof/>
              </w:rPr>
              <w:t>27</w:t>
            </w:r>
            <w:r>
              <w:rPr>
                <w:noProof/>
              </w:rPr>
              <w:fldChar w:fldCharType="end"/>
            </w:r>
          </w:hyperlink>
        </w:p>
        <w:p w14:paraId="18417FF2" w14:textId="110F5742" w:rsidR="00670552" w:rsidRDefault="00670552">
          <w:pPr>
            <w:pStyle w:val="TM3"/>
            <w:tabs>
              <w:tab w:val="right" w:leader="dot" w:pos="9350"/>
            </w:tabs>
            <w:rPr>
              <w:noProof/>
            </w:rPr>
          </w:pPr>
          <w:hyperlink w:anchor="_Toc232967308" w:history="1">
            <w:r w:rsidRPr="0066409C">
              <w:rPr>
                <w:rStyle w:val="Lienhypertexte"/>
                <w:noProof/>
              </w:rPr>
              <w:t>Le constat central (30 secondes)</w:t>
            </w:r>
            <w:r>
              <w:rPr>
                <w:noProof/>
              </w:rPr>
              <w:tab/>
            </w:r>
            <w:r>
              <w:rPr>
                <w:noProof/>
              </w:rPr>
              <w:fldChar w:fldCharType="begin"/>
            </w:r>
            <w:r>
              <w:rPr>
                <w:noProof/>
              </w:rPr>
              <w:instrText xml:space="preserve"> PAGEREF _Toc232967308 \h </w:instrText>
            </w:r>
            <w:r>
              <w:rPr>
                <w:noProof/>
              </w:rPr>
            </w:r>
            <w:r>
              <w:rPr>
                <w:noProof/>
              </w:rPr>
              <w:fldChar w:fldCharType="separate"/>
            </w:r>
            <w:r w:rsidR="000B5DD4">
              <w:rPr>
                <w:noProof/>
              </w:rPr>
              <w:t>27</w:t>
            </w:r>
            <w:r>
              <w:rPr>
                <w:noProof/>
              </w:rPr>
              <w:fldChar w:fldCharType="end"/>
            </w:r>
          </w:hyperlink>
        </w:p>
        <w:p w14:paraId="23D62422" w14:textId="6D84E380" w:rsidR="00670552" w:rsidRDefault="00670552">
          <w:pPr>
            <w:pStyle w:val="TM3"/>
            <w:tabs>
              <w:tab w:val="right" w:leader="dot" w:pos="9350"/>
            </w:tabs>
            <w:rPr>
              <w:noProof/>
            </w:rPr>
          </w:pPr>
          <w:hyperlink w:anchor="_Toc232967309" w:history="1">
            <w:r w:rsidRPr="0066409C">
              <w:rPr>
                <w:rStyle w:val="Lienhypertexte"/>
                <w:noProof/>
              </w:rPr>
              <w:t>Pourquoi ce n'est pas un détail technique (20 secondes)</w:t>
            </w:r>
            <w:r>
              <w:rPr>
                <w:noProof/>
              </w:rPr>
              <w:tab/>
            </w:r>
            <w:r>
              <w:rPr>
                <w:noProof/>
              </w:rPr>
              <w:fldChar w:fldCharType="begin"/>
            </w:r>
            <w:r>
              <w:rPr>
                <w:noProof/>
              </w:rPr>
              <w:instrText xml:space="preserve"> PAGEREF _Toc232967309 \h </w:instrText>
            </w:r>
            <w:r>
              <w:rPr>
                <w:noProof/>
              </w:rPr>
            </w:r>
            <w:r>
              <w:rPr>
                <w:noProof/>
              </w:rPr>
              <w:fldChar w:fldCharType="separate"/>
            </w:r>
            <w:r w:rsidR="000B5DD4">
              <w:rPr>
                <w:noProof/>
              </w:rPr>
              <w:t>27</w:t>
            </w:r>
            <w:r>
              <w:rPr>
                <w:noProof/>
              </w:rPr>
              <w:fldChar w:fldCharType="end"/>
            </w:r>
          </w:hyperlink>
        </w:p>
        <w:p w14:paraId="6934EF2F" w14:textId="30F60F05" w:rsidR="00670552" w:rsidRDefault="00670552">
          <w:pPr>
            <w:pStyle w:val="TM3"/>
            <w:tabs>
              <w:tab w:val="right" w:leader="dot" w:pos="9350"/>
            </w:tabs>
            <w:rPr>
              <w:noProof/>
            </w:rPr>
          </w:pPr>
          <w:hyperlink w:anchor="_Toc232967310" w:history="1">
            <w:r w:rsidRPr="0066409C">
              <w:rPr>
                <w:rStyle w:val="Lienhypertexte"/>
                <w:noProof/>
              </w:rPr>
              <w:t>Le contre-exemple qui aurait pu tromper l'analyse (20 secondes)</w:t>
            </w:r>
            <w:r>
              <w:rPr>
                <w:noProof/>
              </w:rPr>
              <w:tab/>
            </w:r>
            <w:r>
              <w:rPr>
                <w:noProof/>
              </w:rPr>
              <w:fldChar w:fldCharType="begin"/>
            </w:r>
            <w:r>
              <w:rPr>
                <w:noProof/>
              </w:rPr>
              <w:instrText xml:space="preserve"> PAGEREF _Toc232967310 \h </w:instrText>
            </w:r>
            <w:r>
              <w:rPr>
                <w:noProof/>
              </w:rPr>
            </w:r>
            <w:r>
              <w:rPr>
                <w:noProof/>
              </w:rPr>
              <w:fldChar w:fldCharType="separate"/>
            </w:r>
            <w:r w:rsidR="000B5DD4">
              <w:rPr>
                <w:noProof/>
              </w:rPr>
              <w:t>27</w:t>
            </w:r>
            <w:r>
              <w:rPr>
                <w:noProof/>
              </w:rPr>
              <w:fldChar w:fldCharType="end"/>
            </w:r>
          </w:hyperlink>
        </w:p>
        <w:p w14:paraId="2EC8DF2D" w14:textId="3E39C467" w:rsidR="00670552" w:rsidRDefault="00670552">
          <w:pPr>
            <w:pStyle w:val="TM3"/>
            <w:tabs>
              <w:tab w:val="right" w:leader="dot" w:pos="9350"/>
            </w:tabs>
            <w:rPr>
              <w:noProof/>
            </w:rPr>
          </w:pPr>
          <w:hyperlink w:anchor="_Toc232967311" w:history="1">
            <w:r w:rsidRPr="0066409C">
              <w:rPr>
                <w:rStyle w:val="Lienhypertexte"/>
                <w:noProof/>
              </w:rPr>
              <w:t>Le signal régional, avec honnêteté sur ses limites (20 secondes)</w:t>
            </w:r>
            <w:r>
              <w:rPr>
                <w:noProof/>
              </w:rPr>
              <w:tab/>
            </w:r>
            <w:r>
              <w:rPr>
                <w:noProof/>
              </w:rPr>
              <w:fldChar w:fldCharType="begin"/>
            </w:r>
            <w:r>
              <w:rPr>
                <w:noProof/>
              </w:rPr>
              <w:instrText xml:space="preserve"> PAGEREF _Toc232967311 \h </w:instrText>
            </w:r>
            <w:r>
              <w:rPr>
                <w:noProof/>
              </w:rPr>
            </w:r>
            <w:r>
              <w:rPr>
                <w:noProof/>
              </w:rPr>
              <w:fldChar w:fldCharType="separate"/>
            </w:r>
            <w:r w:rsidR="000B5DD4">
              <w:rPr>
                <w:noProof/>
              </w:rPr>
              <w:t>27</w:t>
            </w:r>
            <w:r>
              <w:rPr>
                <w:noProof/>
              </w:rPr>
              <w:fldChar w:fldCharType="end"/>
            </w:r>
          </w:hyperlink>
        </w:p>
        <w:p w14:paraId="6B2699E9" w14:textId="64843BAC" w:rsidR="00670552" w:rsidRDefault="00670552">
          <w:pPr>
            <w:pStyle w:val="TM3"/>
            <w:tabs>
              <w:tab w:val="right" w:leader="dot" w:pos="9350"/>
            </w:tabs>
            <w:rPr>
              <w:noProof/>
            </w:rPr>
          </w:pPr>
          <w:hyperlink w:anchor="_Toc232967312" w:history="1">
            <w:r w:rsidRPr="0066409C">
              <w:rPr>
                <w:rStyle w:val="Lienhypertexte"/>
                <w:noProof/>
              </w:rPr>
              <w:t>Les trois recommandations (45 secondes)</w:t>
            </w:r>
            <w:r>
              <w:rPr>
                <w:noProof/>
              </w:rPr>
              <w:tab/>
            </w:r>
            <w:r>
              <w:rPr>
                <w:noProof/>
              </w:rPr>
              <w:fldChar w:fldCharType="begin"/>
            </w:r>
            <w:r>
              <w:rPr>
                <w:noProof/>
              </w:rPr>
              <w:instrText xml:space="preserve"> PAGEREF _Toc232967312 \h </w:instrText>
            </w:r>
            <w:r>
              <w:rPr>
                <w:noProof/>
              </w:rPr>
            </w:r>
            <w:r>
              <w:rPr>
                <w:noProof/>
              </w:rPr>
              <w:fldChar w:fldCharType="separate"/>
            </w:r>
            <w:r w:rsidR="000B5DD4">
              <w:rPr>
                <w:noProof/>
              </w:rPr>
              <w:t>27</w:t>
            </w:r>
            <w:r>
              <w:rPr>
                <w:noProof/>
              </w:rPr>
              <w:fldChar w:fldCharType="end"/>
            </w:r>
          </w:hyperlink>
        </w:p>
        <w:p w14:paraId="42EB744F" w14:textId="473C728D" w:rsidR="00670552" w:rsidRDefault="00670552">
          <w:pPr>
            <w:pStyle w:val="TM3"/>
            <w:tabs>
              <w:tab w:val="right" w:leader="dot" w:pos="9350"/>
            </w:tabs>
            <w:rPr>
              <w:noProof/>
            </w:rPr>
          </w:pPr>
          <w:hyperlink w:anchor="_Toc232967313" w:history="1">
            <w:r w:rsidRPr="0066409C">
              <w:rPr>
                <w:rStyle w:val="Lienhypertexte"/>
                <w:noProof/>
              </w:rPr>
              <w:t>Clôture — la punchline (10 secondes)</w:t>
            </w:r>
            <w:r>
              <w:rPr>
                <w:noProof/>
              </w:rPr>
              <w:tab/>
            </w:r>
            <w:r>
              <w:rPr>
                <w:noProof/>
              </w:rPr>
              <w:fldChar w:fldCharType="begin"/>
            </w:r>
            <w:r>
              <w:rPr>
                <w:noProof/>
              </w:rPr>
              <w:instrText xml:space="preserve"> PAGEREF _Toc232967313 \h </w:instrText>
            </w:r>
            <w:r>
              <w:rPr>
                <w:noProof/>
              </w:rPr>
            </w:r>
            <w:r>
              <w:rPr>
                <w:noProof/>
              </w:rPr>
              <w:fldChar w:fldCharType="separate"/>
            </w:r>
            <w:r w:rsidR="000B5DD4">
              <w:rPr>
                <w:noProof/>
              </w:rPr>
              <w:t>28</w:t>
            </w:r>
            <w:r>
              <w:rPr>
                <w:noProof/>
              </w:rPr>
              <w:fldChar w:fldCharType="end"/>
            </w:r>
          </w:hyperlink>
        </w:p>
        <w:p w14:paraId="5DD9CD7E" w14:textId="214865F5" w:rsidR="00670552" w:rsidRDefault="00670552">
          <w:pPr>
            <w:pStyle w:val="TM1"/>
            <w:tabs>
              <w:tab w:val="right" w:leader="dot" w:pos="9350"/>
            </w:tabs>
            <w:rPr>
              <w:noProof/>
            </w:rPr>
          </w:pPr>
          <w:hyperlink w:anchor="_Toc232967314" w:history="1">
            <w:r w:rsidRPr="0066409C">
              <w:rPr>
                <w:rStyle w:val="Lienhypertexte"/>
                <w:noProof/>
              </w:rPr>
              <w:t>12. Guide méthodologique réutilisable</w:t>
            </w:r>
            <w:r>
              <w:rPr>
                <w:noProof/>
              </w:rPr>
              <w:tab/>
            </w:r>
            <w:r>
              <w:rPr>
                <w:noProof/>
              </w:rPr>
              <w:fldChar w:fldCharType="begin"/>
            </w:r>
            <w:r>
              <w:rPr>
                <w:noProof/>
              </w:rPr>
              <w:instrText xml:space="preserve"> PAGEREF _Toc232967314 \h </w:instrText>
            </w:r>
            <w:r>
              <w:rPr>
                <w:noProof/>
              </w:rPr>
            </w:r>
            <w:r>
              <w:rPr>
                <w:noProof/>
              </w:rPr>
              <w:fldChar w:fldCharType="separate"/>
            </w:r>
            <w:r w:rsidR="000B5DD4">
              <w:rPr>
                <w:noProof/>
              </w:rPr>
              <w:t>29</w:t>
            </w:r>
            <w:r>
              <w:rPr>
                <w:noProof/>
              </w:rPr>
              <w:fldChar w:fldCharType="end"/>
            </w:r>
          </w:hyperlink>
        </w:p>
        <w:p w14:paraId="07AD4FF7" w14:textId="42FD3AEC" w:rsidR="00670552" w:rsidRDefault="00670552">
          <w:pPr>
            <w:pStyle w:val="TM2"/>
            <w:tabs>
              <w:tab w:val="right" w:leader="dot" w:pos="9350"/>
            </w:tabs>
            <w:rPr>
              <w:noProof/>
            </w:rPr>
          </w:pPr>
          <w:hyperlink w:anchor="_Toc232967315" w:history="1">
            <w:r w:rsidRPr="0066409C">
              <w:rPr>
                <w:rStyle w:val="Lienhypertexte"/>
                <w:noProof/>
              </w:rPr>
              <w:t>12.1 Démarche analytique</w:t>
            </w:r>
            <w:r>
              <w:rPr>
                <w:noProof/>
              </w:rPr>
              <w:tab/>
            </w:r>
            <w:r>
              <w:rPr>
                <w:noProof/>
              </w:rPr>
              <w:fldChar w:fldCharType="begin"/>
            </w:r>
            <w:r>
              <w:rPr>
                <w:noProof/>
              </w:rPr>
              <w:instrText xml:space="preserve"> PAGEREF _Toc232967315 \h </w:instrText>
            </w:r>
            <w:r>
              <w:rPr>
                <w:noProof/>
              </w:rPr>
            </w:r>
            <w:r>
              <w:rPr>
                <w:noProof/>
              </w:rPr>
              <w:fldChar w:fldCharType="separate"/>
            </w:r>
            <w:r w:rsidR="000B5DD4">
              <w:rPr>
                <w:noProof/>
              </w:rPr>
              <w:t>29</w:t>
            </w:r>
            <w:r>
              <w:rPr>
                <w:noProof/>
              </w:rPr>
              <w:fldChar w:fldCharType="end"/>
            </w:r>
          </w:hyperlink>
        </w:p>
        <w:p w14:paraId="1EE16D81" w14:textId="768C5D09" w:rsidR="00670552" w:rsidRDefault="00670552">
          <w:pPr>
            <w:pStyle w:val="TM2"/>
            <w:tabs>
              <w:tab w:val="right" w:leader="dot" w:pos="9350"/>
            </w:tabs>
            <w:rPr>
              <w:noProof/>
            </w:rPr>
          </w:pPr>
          <w:hyperlink w:anchor="_Toc232967316" w:history="1">
            <w:r w:rsidRPr="0066409C">
              <w:rPr>
                <w:rStyle w:val="Lienhypertexte"/>
                <w:noProof/>
              </w:rPr>
              <w:t>12.2 Qualité des données — réflexes à conserver</w:t>
            </w:r>
            <w:r>
              <w:rPr>
                <w:noProof/>
              </w:rPr>
              <w:tab/>
            </w:r>
            <w:r>
              <w:rPr>
                <w:noProof/>
              </w:rPr>
              <w:fldChar w:fldCharType="begin"/>
            </w:r>
            <w:r>
              <w:rPr>
                <w:noProof/>
              </w:rPr>
              <w:instrText xml:space="preserve"> PAGEREF _Toc232967316 \h </w:instrText>
            </w:r>
            <w:r>
              <w:rPr>
                <w:noProof/>
              </w:rPr>
            </w:r>
            <w:r>
              <w:rPr>
                <w:noProof/>
              </w:rPr>
              <w:fldChar w:fldCharType="separate"/>
            </w:r>
            <w:r w:rsidR="000B5DD4">
              <w:rPr>
                <w:noProof/>
              </w:rPr>
              <w:t>29</w:t>
            </w:r>
            <w:r>
              <w:rPr>
                <w:noProof/>
              </w:rPr>
              <w:fldChar w:fldCharType="end"/>
            </w:r>
          </w:hyperlink>
        </w:p>
        <w:p w14:paraId="4932BF3C" w14:textId="2927052C" w:rsidR="00670552" w:rsidRDefault="00670552">
          <w:pPr>
            <w:pStyle w:val="TM2"/>
            <w:tabs>
              <w:tab w:val="right" w:leader="dot" w:pos="9350"/>
            </w:tabs>
            <w:rPr>
              <w:noProof/>
            </w:rPr>
          </w:pPr>
          <w:hyperlink w:anchor="_Toc232967317" w:history="1">
            <w:r w:rsidRPr="0066409C">
              <w:rPr>
                <w:rStyle w:val="Lienhypertexte"/>
                <w:noProof/>
              </w:rPr>
              <w:t>12.3 Modélisation — pièges évités</w:t>
            </w:r>
            <w:r>
              <w:rPr>
                <w:noProof/>
              </w:rPr>
              <w:tab/>
            </w:r>
            <w:r>
              <w:rPr>
                <w:noProof/>
              </w:rPr>
              <w:fldChar w:fldCharType="begin"/>
            </w:r>
            <w:r>
              <w:rPr>
                <w:noProof/>
              </w:rPr>
              <w:instrText xml:space="preserve"> PAGEREF _Toc232967317 \h </w:instrText>
            </w:r>
            <w:r>
              <w:rPr>
                <w:noProof/>
              </w:rPr>
            </w:r>
            <w:r>
              <w:rPr>
                <w:noProof/>
              </w:rPr>
              <w:fldChar w:fldCharType="separate"/>
            </w:r>
            <w:r w:rsidR="000B5DD4">
              <w:rPr>
                <w:noProof/>
              </w:rPr>
              <w:t>29</w:t>
            </w:r>
            <w:r>
              <w:rPr>
                <w:noProof/>
              </w:rPr>
              <w:fldChar w:fldCharType="end"/>
            </w:r>
          </w:hyperlink>
        </w:p>
        <w:p w14:paraId="3ADF44AD" w14:textId="280C9E3E" w:rsidR="00670552" w:rsidRDefault="00670552">
          <w:pPr>
            <w:pStyle w:val="TM2"/>
            <w:tabs>
              <w:tab w:val="right" w:leader="dot" w:pos="9350"/>
            </w:tabs>
            <w:rPr>
              <w:noProof/>
            </w:rPr>
          </w:pPr>
          <w:hyperlink w:anchor="_Toc232967318" w:history="1">
            <w:r w:rsidRPr="0066409C">
              <w:rPr>
                <w:rStyle w:val="Lienhypertexte"/>
                <w:noProof/>
              </w:rPr>
              <w:t>12.4 DAX — bonnes pratiques retenues</w:t>
            </w:r>
            <w:r>
              <w:rPr>
                <w:noProof/>
              </w:rPr>
              <w:tab/>
            </w:r>
            <w:r>
              <w:rPr>
                <w:noProof/>
              </w:rPr>
              <w:fldChar w:fldCharType="begin"/>
            </w:r>
            <w:r>
              <w:rPr>
                <w:noProof/>
              </w:rPr>
              <w:instrText xml:space="preserve"> PAGEREF _Toc232967318 \h </w:instrText>
            </w:r>
            <w:r>
              <w:rPr>
                <w:noProof/>
              </w:rPr>
            </w:r>
            <w:r>
              <w:rPr>
                <w:noProof/>
              </w:rPr>
              <w:fldChar w:fldCharType="separate"/>
            </w:r>
            <w:r w:rsidR="000B5DD4">
              <w:rPr>
                <w:noProof/>
              </w:rPr>
              <w:t>30</w:t>
            </w:r>
            <w:r>
              <w:rPr>
                <w:noProof/>
              </w:rPr>
              <w:fldChar w:fldCharType="end"/>
            </w:r>
          </w:hyperlink>
        </w:p>
        <w:p w14:paraId="225A7F8F" w14:textId="5C4BCEA7" w:rsidR="00670552" w:rsidRDefault="00670552">
          <w:pPr>
            <w:pStyle w:val="TM2"/>
            <w:tabs>
              <w:tab w:val="right" w:leader="dot" w:pos="9350"/>
            </w:tabs>
            <w:rPr>
              <w:noProof/>
            </w:rPr>
          </w:pPr>
          <w:hyperlink w:anchor="_Toc232967319" w:history="1">
            <w:r w:rsidRPr="0066409C">
              <w:rPr>
                <w:rStyle w:val="Lienhypertexte"/>
                <w:noProof/>
              </w:rPr>
              <w:t>12.5 Power Query — bonnes pratiques retenues</w:t>
            </w:r>
            <w:r>
              <w:rPr>
                <w:noProof/>
              </w:rPr>
              <w:tab/>
            </w:r>
            <w:r>
              <w:rPr>
                <w:noProof/>
              </w:rPr>
              <w:fldChar w:fldCharType="begin"/>
            </w:r>
            <w:r>
              <w:rPr>
                <w:noProof/>
              </w:rPr>
              <w:instrText xml:space="preserve"> PAGEREF _Toc232967319 \h </w:instrText>
            </w:r>
            <w:r>
              <w:rPr>
                <w:noProof/>
              </w:rPr>
            </w:r>
            <w:r>
              <w:rPr>
                <w:noProof/>
              </w:rPr>
              <w:fldChar w:fldCharType="separate"/>
            </w:r>
            <w:r w:rsidR="000B5DD4">
              <w:rPr>
                <w:noProof/>
              </w:rPr>
              <w:t>30</w:t>
            </w:r>
            <w:r>
              <w:rPr>
                <w:noProof/>
              </w:rPr>
              <w:fldChar w:fldCharType="end"/>
            </w:r>
          </w:hyperlink>
        </w:p>
        <w:p w14:paraId="04DC5B35" w14:textId="36F9F3B2" w:rsidR="00670552" w:rsidRDefault="00670552">
          <w:pPr>
            <w:pStyle w:val="TM2"/>
            <w:tabs>
              <w:tab w:val="right" w:leader="dot" w:pos="9350"/>
            </w:tabs>
            <w:rPr>
              <w:noProof/>
            </w:rPr>
          </w:pPr>
          <w:hyperlink w:anchor="_Toc232967320" w:history="1">
            <w:r w:rsidRPr="0066409C">
              <w:rPr>
                <w:rStyle w:val="Lienhypertexte"/>
                <w:noProof/>
              </w:rPr>
              <w:t>12.6 Conception de rapport — principes transférables</w:t>
            </w:r>
            <w:r>
              <w:rPr>
                <w:noProof/>
              </w:rPr>
              <w:tab/>
            </w:r>
            <w:r>
              <w:rPr>
                <w:noProof/>
              </w:rPr>
              <w:fldChar w:fldCharType="begin"/>
            </w:r>
            <w:r>
              <w:rPr>
                <w:noProof/>
              </w:rPr>
              <w:instrText xml:space="preserve"> PAGEREF _Toc232967320 \h </w:instrText>
            </w:r>
            <w:r>
              <w:rPr>
                <w:noProof/>
              </w:rPr>
            </w:r>
            <w:r>
              <w:rPr>
                <w:noProof/>
              </w:rPr>
              <w:fldChar w:fldCharType="separate"/>
            </w:r>
            <w:r w:rsidR="000B5DD4">
              <w:rPr>
                <w:noProof/>
              </w:rPr>
              <w:t>30</w:t>
            </w:r>
            <w:r>
              <w:rPr>
                <w:noProof/>
              </w:rPr>
              <w:fldChar w:fldCharType="end"/>
            </w:r>
          </w:hyperlink>
        </w:p>
        <w:p w14:paraId="14A3B3F5" w14:textId="51F60E5A" w:rsidR="00670552" w:rsidRDefault="00670552">
          <w:pPr>
            <w:pStyle w:val="TM2"/>
            <w:tabs>
              <w:tab w:val="right" w:leader="dot" w:pos="9350"/>
            </w:tabs>
            <w:rPr>
              <w:noProof/>
            </w:rPr>
          </w:pPr>
          <w:hyperlink w:anchor="_Toc232967321" w:history="1">
            <w:r w:rsidRPr="0066409C">
              <w:rPr>
                <w:rStyle w:val="Lienhypertexte"/>
                <w:noProof/>
              </w:rPr>
              <w:t>12.7 Pistes laissées ouvertes pour une itération future</w:t>
            </w:r>
            <w:r>
              <w:rPr>
                <w:noProof/>
              </w:rPr>
              <w:tab/>
            </w:r>
            <w:r>
              <w:rPr>
                <w:noProof/>
              </w:rPr>
              <w:fldChar w:fldCharType="begin"/>
            </w:r>
            <w:r>
              <w:rPr>
                <w:noProof/>
              </w:rPr>
              <w:instrText xml:space="preserve"> PAGEREF _Toc232967321 \h </w:instrText>
            </w:r>
            <w:r>
              <w:rPr>
                <w:noProof/>
              </w:rPr>
            </w:r>
            <w:r>
              <w:rPr>
                <w:noProof/>
              </w:rPr>
              <w:fldChar w:fldCharType="separate"/>
            </w:r>
            <w:r w:rsidR="000B5DD4">
              <w:rPr>
                <w:noProof/>
              </w:rPr>
              <w:t>31</w:t>
            </w:r>
            <w:r>
              <w:rPr>
                <w:noProof/>
              </w:rPr>
              <w:fldChar w:fldCharType="end"/>
            </w:r>
          </w:hyperlink>
        </w:p>
        <w:p w14:paraId="673B7E37" w14:textId="77777777" w:rsidR="002E02CE" w:rsidRDefault="00000000">
          <w:r>
            <w:fldChar w:fldCharType="end"/>
          </w:r>
        </w:p>
      </w:sdtContent>
    </w:sdt>
    <w:p w14:paraId="7065F75E" w14:textId="77777777" w:rsidR="002E02CE" w:rsidRDefault="00000000">
      <w:r>
        <w:br w:type="page"/>
      </w:r>
    </w:p>
    <w:p w14:paraId="12CFC6DD" w14:textId="77777777" w:rsidR="002E02CE" w:rsidRDefault="00000000">
      <w:pPr>
        <w:pStyle w:val="Titre1"/>
      </w:pPr>
      <w:bookmarkStart w:id="1" w:name="_Toc232967250"/>
      <w:r>
        <w:lastRenderedPageBreak/>
        <w:t>Avant-propos</w:t>
      </w:r>
      <w:bookmarkEnd w:id="1"/>
    </w:p>
    <w:p w14:paraId="480CCD8C" w14:textId="77777777" w:rsidR="002E02CE" w:rsidRDefault="00000000">
      <w:pPr>
        <w:spacing w:after="160" w:line="276" w:lineRule="auto"/>
      </w:pPr>
      <w:r>
        <w:t>Ce document consolide l'intégralité de la démarche d'analyse menée sur le jeu de données PitchSide Pro, dans le cadre de la Manche 1 du Power BI Data Visualization World Championship 2026. Il a deux objectifs :</w:t>
      </w:r>
    </w:p>
    <w:p w14:paraId="2E3655B8" w14:textId="77777777" w:rsidR="002E02CE" w:rsidRDefault="00000000">
      <w:pPr>
        <w:pStyle w:val="Paragraphedeliste"/>
        <w:numPr>
          <w:ilvl w:val="0"/>
          <w:numId w:val="2"/>
        </w:numPr>
        <w:spacing w:after="100" w:line="276" w:lineRule="auto"/>
      </w:pPr>
      <w:r>
        <w:t>Servir de guide méthodologique réutilisable pour de futurs projets Power BI — la logique de raisonnement compte plus que les chiffres eux-mêmes.</w:t>
      </w:r>
    </w:p>
    <w:p w14:paraId="75832FDC" w14:textId="77777777" w:rsidR="002E02CE" w:rsidRDefault="00000000">
      <w:pPr>
        <w:pStyle w:val="Paragraphedeliste"/>
        <w:numPr>
          <w:ilvl w:val="0"/>
          <w:numId w:val="2"/>
        </w:numPr>
        <w:spacing w:after="100" w:line="276" w:lineRule="auto"/>
      </w:pPr>
      <w:r>
        <w:t>Constituer une pièce de portfolio démontrant une démarche d'analyse rigoureuse : exploration sans a priori, formulation et test d'hypothèses, rejet explicite des pistes non confirmées, traduction en recommandations actionnables.</w:t>
      </w:r>
    </w:p>
    <w:p w14:paraId="44CFF7B8" w14:textId="77777777" w:rsidR="002E02CE" w:rsidRDefault="00000000">
      <w:pPr>
        <w:spacing w:after="160" w:line="276" w:lineRule="auto"/>
      </w:pPr>
      <w:r>
        <w:t xml:space="preserve">La démarche a suivi un principe directeur fixé dès le départ : </w:t>
      </w:r>
    </w:p>
    <w:p w14:paraId="795F1DCA" w14:textId="77777777" w:rsidR="002E02CE" w:rsidRDefault="00000000">
      <w:pPr>
        <w:pBdr>
          <w:left w:val="single" w:sz="18" w:space="8" w:color="1F3864"/>
        </w:pBdr>
        <w:shd w:val="clear" w:color="auto" w:fill="F2F2F2"/>
        <w:spacing w:before="120" w:after="200" w:line="276" w:lineRule="auto"/>
        <w:ind w:left="360"/>
      </w:pPr>
      <w:r>
        <w:rPr>
          <w:i/>
          <w:iCs/>
          <w:color w:val="333333"/>
        </w:rPr>
        <w:t>« Laisser les chiffres trancher d'abord. » — Plutôt que de construire le rapport autour d'une intuition séduisante (l'impact des tournois sportifs), chaque hypothèse a été testée avant d'être retenue ou écartée.</w:t>
      </w:r>
    </w:p>
    <w:p w14:paraId="5106C751" w14:textId="77777777" w:rsidR="002E02CE" w:rsidRDefault="00000000">
      <w:pPr>
        <w:spacing w:after="160" w:line="276" w:lineRule="auto"/>
      </w:pPr>
      <w:r>
        <w:t>Le document suit la séquence réellement empruntée durant le projet : compréhension métier → qualité des données → exploration (temporel → facteurs → mix) → formulation de la thèse → modélisation → mesures DAX → conception du rapport → storytelling exécutif.</w:t>
      </w:r>
    </w:p>
    <w:p w14:paraId="0C194EDD" w14:textId="77777777" w:rsidR="002E02CE" w:rsidRDefault="00000000">
      <w:r>
        <w:br w:type="page"/>
      </w:r>
    </w:p>
    <w:p w14:paraId="41F31EFF" w14:textId="77777777" w:rsidR="002E02CE" w:rsidRDefault="00000000">
      <w:pPr>
        <w:pStyle w:val="Titre1"/>
      </w:pPr>
      <w:bookmarkStart w:id="2" w:name="_Toc232967251"/>
      <w:r>
        <w:lastRenderedPageBreak/>
        <w:t>1. Compréhension du contexte métier</w:t>
      </w:r>
      <w:bookmarkEnd w:id="2"/>
    </w:p>
    <w:p w14:paraId="26F8E4A5" w14:textId="77777777" w:rsidR="002E02CE" w:rsidRDefault="00000000">
      <w:pPr>
        <w:spacing w:after="160" w:line="276" w:lineRule="auto"/>
      </w:pPr>
      <w:r>
        <w:t>PitchSide Pro est un détaillant mondial de commerce électronique spécialisé dans les produits dérivés du football (maillots de club et d'équipe nationale, chaussures et équipement d'entraînement, écharpes, objets de collection). L'entreprise vend sur deux canaux numériques (Web et Application Mobile), dans huit pays répartis sur trois macro-régions (EMEA, Amériques, APAC), sur une période de cinq ans (2021–2025).</w:t>
      </w:r>
    </w:p>
    <w:p w14:paraId="356856C6" w14:textId="77777777" w:rsidR="002E02CE" w:rsidRDefault="00000000">
      <w:pPr>
        <w:pStyle w:val="Titre2"/>
      </w:pPr>
      <w:bookmarkStart w:id="3" w:name="_Toc232967252"/>
      <w:r>
        <w:t>1.1 Le modèle économique implicite du jeu de données</w:t>
      </w:r>
      <w:bookmarkEnd w:id="3"/>
    </w:p>
    <w:p w14:paraId="7ED5B2AE" w14:textId="77777777" w:rsidR="002E02CE" w:rsidRDefault="00000000">
      <w:pPr>
        <w:spacing w:after="160" w:line="276" w:lineRule="auto"/>
      </w:pPr>
      <w:r>
        <w:t>Deux familles de tables coexistent dans le modèle et leur articulation est la clé de toute l'analyse :</w:t>
      </w:r>
    </w:p>
    <w:p w14:paraId="6734CBB9" w14:textId="77777777" w:rsidR="002E02CE" w:rsidRDefault="00000000">
      <w:pPr>
        <w:pStyle w:val="Paragraphedeliste"/>
        <w:numPr>
          <w:ilvl w:val="0"/>
          <w:numId w:val="2"/>
        </w:numPr>
        <w:spacing w:after="100" w:line="276" w:lineRule="auto"/>
      </w:pPr>
      <w:r>
        <w:t>FactTraffic — le haut de l'entonnoir : sessions, ajouts au panier, conversions, taux de rebond.</w:t>
      </w:r>
    </w:p>
    <w:p w14:paraId="6F7864A0" w14:textId="77777777" w:rsidR="002E02CE" w:rsidRDefault="00000000">
      <w:pPr>
        <w:pStyle w:val="Paragraphedeliste"/>
        <w:numPr>
          <w:ilvl w:val="0"/>
          <w:numId w:val="2"/>
        </w:numPr>
        <w:spacing w:after="100" w:line="276" w:lineRule="auto"/>
      </w:pPr>
      <w:r>
        <w:t>FactSales — ce que l'entonnoir produit réellement : chiffre d'affaires, remises, coûts, profit.</w:t>
      </w:r>
    </w:p>
    <w:p w14:paraId="78B947F5"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Principe retenu : </w:t>
      </w:r>
      <w:r>
        <w:rPr>
          <w:color w:val="333333"/>
        </w:rPr>
        <w:t>le trafic n'est pas un KPI annexe, c'est l'explication causale du revenu. Toute variation de chiffre d'affaires doit être décomposée en trois questions : a-t-on eu plus de visiteurs ? convertit-on mieux ? le panier moyen a-t-il changé ?</w:t>
      </w:r>
    </w:p>
    <w:p w14:paraId="770A6954" w14:textId="77777777" w:rsidR="002E02CE" w:rsidRDefault="00000000">
      <w:pPr>
        <w:pStyle w:val="Titre2"/>
      </w:pPr>
      <w:bookmarkStart w:id="4" w:name="_Toc232967253"/>
      <w:r>
        <w:t>1.2 Un axe de saisonnalité spécifique au secteur</w:t>
      </w:r>
      <w:bookmarkEnd w:id="4"/>
    </w:p>
    <w:p w14:paraId="6577A7EF" w14:textId="77777777" w:rsidR="002E02CE" w:rsidRDefault="00000000">
      <w:pPr>
        <w:spacing w:after="160" w:line="276" w:lineRule="auto"/>
      </w:pPr>
      <w:r>
        <w:t>La table DimDate encode des moments métier propres au football : Regular Season, Finals Run-In, Kit Launch Season, Holiday Peak, ainsi que deux événements nommés — Global Cup 2022 et Continental Championship 2024 — combinés à des indicateurs binaires (IsTournamentWindow, IsTransferWindow, IsHolidayPeak, IsLeagueLaunch). Une partie significative de la variation des revenus est potentiellement liée à un facteur exogène — le calendrier sportif mondial — que l'entreprise subit plus qu'elle ne pilote.</w:t>
      </w:r>
    </w:p>
    <w:p w14:paraId="3A7275BC" w14:textId="77777777" w:rsidR="002E02CE" w:rsidRDefault="00000000">
      <w:pPr>
        <w:pStyle w:val="Titre2"/>
      </w:pPr>
      <w:bookmarkStart w:id="5" w:name="_Toc232967254"/>
      <w:r>
        <w:t>1.3 Problématiques métier déduites du jeu de données</w:t>
      </w:r>
      <w:bookmarkEnd w:id="5"/>
    </w:p>
    <w:p w14:paraId="541B7514" w14:textId="77777777" w:rsidR="002E02CE" w:rsidRDefault="00000000">
      <w:pPr>
        <w:pStyle w:val="Paragraphedeliste"/>
        <w:numPr>
          <w:ilvl w:val="0"/>
          <w:numId w:val="3"/>
        </w:numPr>
        <w:spacing w:after="100" w:line="276" w:lineRule="auto"/>
      </w:pPr>
      <w:r>
        <w:t>Quelle part de la croissance du revenu vient du volume de trafic, de l'efficacité de conversion, ou du panier moyen / mix produit ?</w:t>
      </w:r>
    </w:p>
    <w:p w14:paraId="3C675A8E" w14:textId="77777777" w:rsidR="002E02CE" w:rsidRDefault="00000000">
      <w:pPr>
        <w:pStyle w:val="Paragraphedeliste"/>
        <w:numPr>
          <w:ilvl w:val="0"/>
          <w:numId w:val="3"/>
        </w:numPr>
        <w:spacing w:after="100" w:line="276" w:lineRule="auto"/>
      </w:pPr>
      <w:r>
        <w:t>Les pics liés aux événements sportifs créent-ils un effet d'entraînement durable, ou sont-ils des opportunités ponctuelles ?</w:t>
      </w:r>
    </w:p>
    <w:p w14:paraId="6409CEB4" w14:textId="77777777" w:rsidR="002E02CE" w:rsidRDefault="00000000">
      <w:pPr>
        <w:pStyle w:val="Paragraphedeliste"/>
        <w:numPr>
          <w:ilvl w:val="0"/>
          <w:numId w:val="3"/>
        </w:numPr>
        <w:spacing w:after="100" w:line="276" w:lineRule="auto"/>
      </w:pPr>
      <w:r>
        <w:t>Quelle région mérite l'investissement marketing suivant — la plus grosse en volume, ou celle à la meilleure dynamique ?</w:t>
      </w:r>
    </w:p>
    <w:p w14:paraId="674BB66A" w14:textId="77777777" w:rsidR="002E02CE" w:rsidRDefault="00000000">
      <w:pPr>
        <w:pStyle w:val="Paragraphedeliste"/>
        <w:numPr>
          <w:ilvl w:val="0"/>
          <w:numId w:val="3"/>
        </w:numPr>
        <w:spacing w:after="100" w:line="276" w:lineRule="auto"/>
      </w:pPr>
      <w:r>
        <w:t>Le mix de segments clients (Casual Fan / Hardcore Fan / Collector) a-t-il une rentabilité différenciée ?</w:t>
      </w:r>
    </w:p>
    <w:p w14:paraId="5EA1F758" w14:textId="77777777" w:rsidR="002E02CE" w:rsidRDefault="00000000">
      <w:pPr>
        <w:pStyle w:val="Paragraphedeliste"/>
        <w:numPr>
          <w:ilvl w:val="0"/>
          <w:numId w:val="3"/>
        </w:numPr>
        <w:spacing w:after="100" w:line="276" w:lineRule="auto"/>
      </w:pPr>
      <w:r>
        <w:t>Les promotions érodent-elles la marge plus qu'elles ne génèrent de volume incrémental ?</w:t>
      </w:r>
    </w:p>
    <w:p w14:paraId="069AC7F5" w14:textId="77777777" w:rsidR="002E02CE" w:rsidRDefault="00000000">
      <w:pPr>
        <w:pStyle w:val="Paragraphedeliste"/>
        <w:numPr>
          <w:ilvl w:val="0"/>
          <w:numId w:val="3"/>
        </w:numPr>
        <w:spacing w:after="100" w:line="276" w:lineRule="auto"/>
      </w:pPr>
      <w:r>
        <w:t>Le canal Mobile App convertit-il différemment du canal Web ?</w:t>
      </w:r>
    </w:p>
    <w:p w14:paraId="7AF5C570" w14:textId="77777777" w:rsidR="002E02CE" w:rsidRDefault="00000000">
      <w:pPr>
        <w:pStyle w:val="Titre2"/>
      </w:pPr>
      <w:bookmarkStart w:id="6" w:name="_Toc232967255"/>
      <w:r>
        <w:lastRenderedPageBreak/>
        <w:t>1.4 KPIs retenus et justification métier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02CE" w14:paraId="49A47A1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A445CF" w14:textId="77777777" w:rsidR="002E02CE" w:rsidRDefault="00000000">
            <w:pPr>
              <w:jc w:val="center"/>
            </w:pPr>
            <w:r>
              <w:rPr>
                <w:b/>
                <w:bCs/>
                <w:color w:val="FFFFFF"/>
                <w:sz w:val="20"/>
                <w:szCs w:val="20"/>
              </w:rPr>
              <w:t>KPI</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616F43C" w14:textId="77777777" w:rsidR="002E02CE" w:rsidRDefault="00000000">
            <w:pPr>
              <w:jc w:val="center"/>
            </w:pPr>
            <w:r>
              <w:rPr>
                <w:b/>
                <w:bCs/>
                <w:color w:val="FFFFFF"/>
                <w:sz w:val="20"/>
                <w:szCs w:val="20"/>
              </w:rPr>
              <w:t>Pourquoi il compte pour la décision</w:t>
            </w:r>
          </w:p>
        </w:tc>
      </w:tr>
      <w:tr w:rsidR="002E02CE" w14:paraId="0D1169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EB909A" w14:textId="77777777" w:rsidR="002E02CE" w:rsidRDefault="00000000">
            <w:r>
              <w:rPr>
                <w:b/>
                <w:bCs/>
                <w:color w:val="000000"/>
                <w:sz w:val="20"/>
                <w:szCs w:val="20"/>
              </w:rPr>
              <w:t>Net Revenue (+ tendance)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174726" w14:textId="77777777" w:rsidR="002E02CE" w:rsidRDefault="00000000">
            <w:r>
              <w:rPr>
                <w:color w:val="000000"/>
                <w:sz w:val="20"/>
                <w:szCs w:val="20"/>
              </w:rPr>
              <w:t>Mesure de pilotage n°1 ; à distinguer du Gross Revenue car la remise modifie la lecture.</w:t>
            </w:r>
          </w:p>
        </w:tc>
      </w:tr>
      <w:tr w:rsidR="002E02CE" w14:paraId="769931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A2918" w14:textId="77777777" w:rsidR="002E02CE" w:rsidRDefault="00000000">
            <w:r>
              <w:rPr>
                <w:b/>
                <w:bCs/>
                <w:color w:val="000000"/>
                <w:sz w:val="20"/>
                <w:szCs w:val="20"/>
              </w:rPr>
              <w:t>Profit / Marge %</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D781BE" w14:textId="77777777" w:rsidR="002E02CE" w:rsidRDefault="00000000">
            <w:r>
              <w:rPr>
                <w:color w:val="000000"/>
                <w:sz w:val="20"/>
                <w:szCs w:val="20"/>
              </w:rPr>
              <w:t>Le revenu seul peut être trompeur si les promotions érodent la marge ; un dirigeant veut une croissance rentable.</w:t>
            </w:r>
          </w:p>
        </w:tc>
      </w:tr>
      <w:tr w:rsidR="002E02CE" w14:paraId="001558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1E7F55" w14:textId="77777777" w:rsidR="002E02CE" w:rsidRDefault="00000000">
            <w:r>
              <w:rPr>
                <w:b/>
                <w:bCs/>
                <w:color w:val="000000"/>
                <w:sz w:val="20"/>
                <w:szCs w:val="20"/>
              </w:rPr>
              <w:t>Taux de conversion (Conversions / Sessions)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07DF7C" w14:textId="77777777" w:rsidR="002E02CE" w:rsidRDefault="00000000">
            <w:r>
              <w:rPr>
                <w:color w:val="000000"/>
                <w:sz w:val="20"/>
                <w:szCs w:val="20"/>
              </w:rPr>
              <w:t>Sépare « on attire du monde » de « on transforme bien ».</w:t>
            </w:r>
          </w:p>
        </w:tc>
      </w:tr>
      <w:tr w:rsidR="002E02CE" w14:paraId="385055B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D8F1B" w14:textId="77777777" w:rsidR="002E02CE" w:rsidRDefault="00000000">
            <w:r>
              <w:rPr>
                <w:b/>
                <w:bCs/>
                <w:color w:val="000000"/>
                <w:sz w:val="20"/>
                <w:szCs w:val="20"/>
              </w:rPr>
              <w:t>Panier moyen — AOV (NetRevenue / Commandes)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97EC48" w14:textId="77777777" w:rsidR="002E02CE" w:rsidRDefault="00000000">
            <w:r>
              <w:rPr>
                <w:color w:val="000000"/>
                <w:sz w:val="20"/>
                <w:szCs w:val="20"/>
              </w:rPr>
              <w:t>Distingue une croissance par volume d'une croissance par valeur.</w:t>
            </w:r>
          </w:p>
        </w:tc>
      </w:tr>
      <w:tr w:rsidR="002E02CE" w14:paraId="0A1467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F5BD06" w14:textId="77777777" w:rsidR="002E02CE" w:rsidRDefault="00000000">
            <w:r>
              <w:rPr>
                <w:b/>
                <w:bCs/>
                <w:color w:val="000000"/>
                <w:sz w:val="20"/>
                <w:szCs w:val="20"/>
              </w:rPr>
              <w:t>Revenu par session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618411" w14:textId="77777777" w:rsidR="002E02CE" w:rsidRDefault="00000000">
            <w:r>
              <w:rPr>
                <w:color w:val="000000"/>
                <w:sz w:val="20"/>
                <w:szCs w:val="20"/>
              </w:rPr>
              <w:t>KPI composite reliant trafic et vente ; utile pour comparer l'efficacité entre canaux et régions.</w:t>
            </w:r>
          </w:p>
        </w:tc>
      </w:tr>
    </w:tbl>
    <w:p w14:paraId="4BDF0567" w14:textId="77777777" w:rsidR="002E02CE" w:rsidRDefault="00000000">
      <w:pPr>
        <w:spacing w:before="60" w:after="240"/>
      </w:pPr>
      <w:r>
        <w:rPr>
          <w:i/>
          <w:iCs/>
          <w:color w:val="666666"/>
          <w:sz w:val="18"/>
          <w:szCs w:val="18"/>
        </w:rPr>
        <w:t>Tableau 1 — KPIs prioritaires identifiés lors de la phase de cadrage métier.</w:t>
      </w:r>
    </w:p>
    <w:p w14:paraId="45DF29C4" w14:textId="77777777" w:rsidR="002E02CE" w:rsidRDefault="00000000">
      <w:r>
        <w:br w:type="page"/>
      </w:r>
    </w:p>
    <w:p w14:paraId="1D522CE1" w14:textId="77777777" w:rsidR="002E02CE" w:rsidRDefault="00000000">
      <w:pPr>
        <w:pStyle w:val="Titre1"/>
      </w:pPr>
      <w:bookmarkStart w:id="7" w:name="_Toc232967256"/>
      <w:r>
        <w:lastRenderedPageBreak/>
        <w:t>2. Analyse du dataset et qualité des données</w:t>
      </w:r>
      <w:bookmarkEnd w:id="7"/>
    </w:p>
    <w:p w14:paraId="7490840F" w14:textId="77777777" w:rsidR="002E02CE" w:rsidRDefault="00000000">
      <w:pPr>
        <w:pStyle w:val="Titre2"/>
      </w:pPr>
      <w:bookmarkStart w:id="8" w:name="_Toc232967257"/>
      <w:r>
        <w:t>2.1 Structure générale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2E02CE" w14:paraId="744A028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72728DC" w14:textId="77777777" w:rsidR="002E02CE" w:rsidRDefault="00000000">
            <w:pPr>
              <w:jc w:val="center"/>
            </w:pPr>
            <w:r>
              <w:rPr>
                <w:b/>
                <w:bCs/>
                <w:color w:val="FFFFFF"/>
                <w:sz w:val="20"/>
                <w:szCs w:val="20"/>
              </w:rPr>
              <w:t>Table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577209" w14:textId="77777777" w:rsidR="002E02CE" w:rsidRDefault="00000000">
            <w:pPr>
              <w:jc w:val="center"/>
            </w:pPr>
            <w:r>
              <w:rPr>
                <w:b/>
                <w:bCs/>
                <w:color w:val="FFFFFF"/>
                <w:sz w:val="20"/>
                <w:szCs w:val="20"/>
              </w:rPr>
              <w:t>Lignes</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BEB59D" w14:textId="77777777" w:rsidR="002E02CE" w:rsidRDefault="00000000">
            <w:pPr>
              <w:jc w:val="center"/>
            </w:pPr>
            <w:r>
              <w:rPr>
                <w:b/>
                <w:bCs/>
                <w:color w:val="FFFFFF"/>
                <w:sz w:val="20"/>
                <w:szCs w:val="20"/>
              </w:rPr>
              <w:t>Rôle</w:t>
            </w:r>
          </w:p>
        </w:tc>
      </w:tr>
      <w:tr w:rsidR="002E02CE" w14:paraId="3DDB6E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650D61B" w14:textId="77777777" w:rsidR="002E02CE" w:rsidRDefault="00000000">
            <w:r>
              <w:rPr>
                <w:b/>
                <w:bCs/>
                <w:color w:val="000000"/>
                <w:sz w:val="20"/>
                <w:szCs w:val="20"/>
              </w:rPr>
              <w:t>FactSales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329F73" w14:textId="77777777" w:rsidR="002E02CE" w:rsidRDefault="00000000">
            <w:r>
              <w:rPr>
                <w:color w:val="000000"/>
                <w:sz w:val="20"/>
                <w:szCs w:val="20"/>
              </w:rPr>
              <w:t>133 362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1BF039" w14:textId="77777777" w:rsidR="002E02CE" w:rsidRDefault="00000000">
            <w:r>
              <w:rPr>
                <w:color w:val="000000"/>
                <w:sz w:val="20"/>
                <w:szCs w:val="20"/>
              </w:rPr>
              <w:t>Table de faits — ventes : revenu, coûts, profit, remises, promotions.</w:t>
            </w:r>
          </w:p>
        </w:tc>
      </w:tr>
      <w:tr w:rsidR="002E02CE" w14:paraId="49B189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A523B" w14:textId="77777777" w:rsidR="002E02CE" w:rsidRDefault="00000000">
            <w:r>
              <w:rPr>
                <w:b/>
                <w:bCs/>
                <w:color w:val="000000"/>
                <w:sz w:val="20"/>
                <w:szCs w:val="20"/>
              </w:rPr>
              <w:t>FactTraffic</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A16A57" w14:textId="77777777" w:rsidR="002E02CE" w:rsidRDefault="00000000">
            <w:r>
              <w:rPr>
                <w:color w:val="000000"/>
                <w:sz w:val="20"/>
                <w:szCs w:val="20"/>
              </w:rPr>
              <w:t>29 216</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95B55" w14:textId="77777777" w:rsidR="002E02CE" w:rsidRDefault="00000000">
            <w:r>
              <w:rPr>
                <w:color w:val="000000"/>
                <w:sz w:val="20"/>
                <w:szCs w:val="20"/>
              </w:rPr>
              <w:t>Table de faits — comportement web : sessions, ajouts panier, conversions.</w:t>
            </w:r>
          </w:p>
        </w:tc>
      </w:tr>
      <w:tr w:rsidR="002E02CE" w14:paraId="5ACD4F2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F68625" w14:textId="77777777" w:rsidR="002E02CE" w:rsidRDefault="00000000">
            <w:r>
              <w:rPr>
                <w:b/>
                <w:bCs/>
                <w:color w:val="000000"/>
                <w:sz w:val="20"/>
                <w:szCs w:val="20"/>
              </w:rPr>
              <w:t>DimDate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84FB75" w14:textId="77777777" w:rsidR="002E02CE" w:rsidRDefault="00000000">
            <w:r>
              <w:rPr>
                <w:color w:val="000000"/>
                <w:sz w:val="20"/>
                <w:szCs w:val="20"/>
              </w:rPr>
              <w:t>1 826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AF6BF4" w14:textId="77777777" w:rsidR="002E02CE" w:rsidRDefault="00000000">
            <w:r>
              <w:rPr>
                <w:color w:val="000000"/>
                <w:sz w:val="20"/>
                <w:szCs w:val="20"/>
              </w:rPr>
              <w:t>Dimension calendaire incluant la saisonnalité football (5 ans, jour par jour).</w:t>
            </w:r>
          </w:p>
        </w:tc>
      </w:tr>
      <w:tr w:rsidR="002E02CE" w14:paraId="4A6A09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33B9B" w14:textId="77777777" w:rsidR="002E02CE" w:rsidRDefault="00000000">
            <w:r>
              <w:rPr>
                <w:b/>
                <w:bCs/>
                <w:color w:val="000000"/>
                <w:sz w:val="20"/>
                <w:szCs w:val="20"/>
              </w:rPr>
              <w:t>DimProduct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F25D03" w14:textId="77777777" w:rsidR="002E02CE" w:rsidRDefault="00000000">
            <w:r>
              <w:rPr>
                <w:color w:val="000000"/>
                <w:sz w:val="20"/>
                <w:szCs w:val="20"/>
              </w:rPr>
              <w:t>100</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6FC4E" w14:textId="77777777" w:rsidR="002E02CE" w:rsidRDefault="00000000">
            <w:r>
              <w:rPr>
                <w:color w:val="000000"/>
                <w:sz w:val="20"/>
                <w:szCs w:val="20"/>
              </w:rPr>
              <w:t>Catalogue produit : catégorie, équipe, joueur vedette, édition limitée.</w:t>
            </w:r>
          </w:p>
        </w:tc>
      </w:tr>
      <w:tr w:rsidR="002E02CE" w14:paraId="368CA8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F60422" w14:textId="77777777" w:rsidR="002E02CE" w:rsidRDefault="00000000">
            <w:r>
              <w:rPr>
                <w:b/>
                <w:bCs/>
                <w:color w:val="000000"/>
                <w:sz w:val="20"/>
                <w:szCs w:val="20"/>
              </w:rPr>
              <w:t>DimCustomer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0973E7" w14:textId="77777777" w:rsidR="002E02CE" w:rsidRDefault="00000000">
            <w:r>
              <w:rPr>
                <w:color w:val="000000"/>
                <w:sz w:val="20"/>
                <w:szCs w:val="20"/>
              </w:rPr>
              <w:t>30 000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AB03FCE" w14:textId="77777777" w:rsidR="002E02CE" w:rsidRDefault="00000000">
            <w:r>
              <w:rPr>
                <w:color w:val="000000"/>
                <w:sz w:val="20"/>
                <w:szCs w:val="20"/>
              </w:rPr>
              <w:t>Clients : segment, canal d'acquisition, ancienneté, fidélité.</w:t>
            </w:r>
          </w:p>
        </w:tc>
      </w:tr>
      <w:tr w:rsidR="002E02CE" w14:paraId="20102F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2D7AA" w14:textId="77777777" w:rsidR="002E02CE" w:rsidRDefault="00000000">
            <w:r>
              <w:rPr>
                <w:b/>
                <w:bCs/>
                <w:color w:val="000000"/>
                <w:sz w:val="20"/>
                <w:szCs w:val="20"/>
              </w:rPr>
              <w:t>DimRegion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8683A" w14:textId="77777777" w:rsidR="002E02CE" w:rsidRDefault="00000000">
            <w:r>
              <w:rPr>
                <w:color w:val="000000"/>
                <w:sz w:val="20"/>
                <w:szCs w:val="20"/>
              </w:rPr>
              <w:t>8</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3603F" w14:textId="77777777" w:rsidR="002E02CE" w:rsidRDefault="00000000">
            <w:r>
              <w:rPr>
                <w:color w:val="000000"/>
                <w:sz w:val="20"/>
                <w:szCs w:val="20"/>
              </w:rPr>
              <w:t>Pays, macro-région, devise, indices de prix et de conversion.</w:t>
            </w:r>
          </w:p>
        </w:tc>
      </w:tr>
      <w:tr w:rsidR="002E02CE" w14:paraId="074B58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7F34B5B" w14:textId="77777777" w:rsidR="002E02CE" w:rsidRDefault="00000000">
            <w:r>
              <w:rPr>
                <w:b/>
                <w:bCs/>
                <w:color w:val="000000"/>
                <w:sz w:val="20"/>
                <w:szCs w:val="20"/>
              </w:rPr>
              <w:t>DimChannel</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9EA63E" w14:textId="77777777" w:rsidR="002E02CE" w:rsidRDefault="00000000">
            <w:r>
              <w:rPr>
                <w:color w:val="000000"/>
                <w:sz w:val="20"/>
                <w:szCs w:val="20"/>
              </w:rPr>
              <w:t>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5C7D9A" w14:textId="77777777" w:rsidR="002E02CE" w:rsidRDefault="00000000">
            <w:r>
              <w:rPr>
                <w:color w:val="000000"/>
                <w:sz w:val="20"/>
                <w:szCs w:val="20"/>
              </w:rPr>
              <w:t>Web et Application Mobile.</w:t>
            </w:r>
          </w:p>
        </w:tc>
      </w:tr>
    </w:tbl>
    <w:p w14:paraId="707E0C7D" w14:textId="77777777" w:rsidR="002E02CE" w:rsidRDefault="00000000">
      <w:pPr>
        <w:spacing w:before="60" w:after="240"/>
      </w:pPr>
      <w:r>
        <w:rPr>
          <w:i/>
          <w:iCs/>
          <w:color w:val="666666"/>
          <w:sz w:val="18"/>
          <w:szCs w:val="18"/>
        </w:rPr>
        <w:t>Tableau 2 — Inventaire des tables sources, telles que livrées (aucune donnée externe ajoutée, conformément au règlement).</w:t>
      </w:r>
    </w:p>
    <w:p w14:paraId="2EB21DD5" w14:textId="77777777" w:rsidR="002E02CE" w:rsidRDefault="00000000">
      <w:pPr>
        <w:pStyle w:val="Titre2"/>
      </w:pPr>
      <w:bookmarkStart w:id="9" w:name="_Toc232967258"/>
      <w:r>
        <w:t>2.2 Vérifications de qualité effectuées</w:t>
      </w:r>
      <w:bookmarkEnd w:id="9"/>
    </w:p>
    <w:p w14:paraId="022F4920" w14:textId="77777777" w:rsidR="002E02CE" w:rsidRDefault="00000000">
      <w:pPr>
        <w:spacing w:after="160" w:line="276" w:lineRule="auto"/>
      </w:pPr>
      <w:r>
        <w:t>Avant toute exploration, une série de contrôles a été menée pour s'assurer qu'aucune anomalie de données ne viendrait fausser un futur diagnostic — un driver « découvert » sur des données sales serait un faux positif coûteux.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1"/>
        <w:gridCol w:w="1364"/>
        <w:gridCol w:w="4835"/>
      </w:tblGrid>
      <w:tr w:rsidR="002E02CE" w14:paraId="5524F59F"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1514CF" w14:textId="77777777" w:rsidR="002E02CE" w:rsidRDefault="00000000">
            <w:pPr>
              <w:jc w:val="center"/>
            </w:pPr>
            <w:r>
              <w:rPr>
                <w:b/>
                <w:bCs/>
                <w:color w:val="FFFFFF"/>
                <w:sz w:val="20"/>
                <w:szCs w:val="20"/>
              </w:rPr>
              <w:t>Vérification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CC2E48" w14:textId="77777777" w:rsidR="002E02CE" w:rsidRDefault="00000000">
            <w:pPr>
              <w:jc w:val="center"/>
            </w:pPr>
            <w:r>
              <w:rPr>
                <w:b/>
                <w:bCs/>
                <w:color w:val="FFFFFF"/>
                <w:sz w:val="20"/>
                <w:szCs w:val="20"/>
              </w:rPr>
              <w:t>Résultat</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184BEA" w14:textId="77777777" w:rsidR="002E02CE" w:rsidRDefault="00000000">
            <w:pPr>
              <w:jc w:val="center"/>
            </w:pPr>
            <w:r>
              <w:rPr>
                <w:b/>
                <w:bCs/>
                <w:color w:val="FFFFFF"/>
                <w:sz w:val="20"/>
                <w:szCs w:val="20"/>
              </w:rPr>
              <w:t>Implication</w:t>
            </w:r>
          </w:p>
        </w:tc>
      </w:tr>
      <w:tr w:rsidR="002E02CE" w14:paraId="0B3767A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EFB5A6" w14:textId="77777777" w:rsidR="002E02CE" w:rsidRDefault="00000000">
            <w:r>
              <w:rPr>
                <w:b/>
                <w:bCs/>
                <w:color w:val="000000"/>
                <w:sz w:val="20"/>
                <w:szCs w:val="20"/>
              </w:rPr>
              <w:t>Intégrité référentielle (toutes clés étrangères)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184F76" w14:textId="77777777" w:rsidR="002E02CE" w:rsidRDefault="00000000">
            <w:r>
              <w:rPr>
                <w:color w:val="000000"/>
                <w:sz w:val="20"/>
                <w:szCs w:val="20"/>
              </w:rPr>
              <w:t>OK</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AD3783" w14:textId="77777777" w:rsidR="002E02CE" w:rsidRDefault="00000000">
            <w:r>
              <w:rPr>
                <w:color w:val="000000"/>
                <w:sz w:val="20"/>
                <w:szCs w:val="20"/>
              </w:rPr>
              <w:t>0 orphelin — modèle en étoile fiable, aucun filtrage défensif requis.</w:t>
            </w:r>
          </w:p>
        </w:tc>
      </w:tr>
      <w:tr w:rsidR="002E02CE" w14:paraId="543C84C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90E51C" w14:textId="77777777" w:rsidR="002E02CE" w:rsidRDefault="00000000">
            <w:r>
              <w:rPr>
                <w:b/>
                <w:bCs/>
                <w:color w:val="000000"/>
                <w:sz w:val="20"/>
                <w:szCs w:val="20"/>
              </w:rPr>
              <w:t>Doublons (lignes, ou grain Date×Région×Canal)</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B242C8" w14:textId="77777777" w:rsidR="002E02CE" w:rsidRDefault="00000000">
            <w:r>
              <w:rPr>
                <w:color w:val="000000"/>
                <w:sz w:val="20"/>
                <w:szCs w:val="20"/>
              </w:rPr>
              <w:t>OK</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8C3CE" w14:textId="77777777" w:rsidR="002E02CE" w:rsidRDefault="00000000">
            <w:r>
              <w:rPr>
                <w:color w:val="000000"/>
                <w:sz w:val="20"/>
                <w:szCs w:val="20"/>
              </w:rPr>
              <w:t>Aucun — pas de risque de double comptage.</w:t>
            </w:r>
          </w:p>
        </w:tc>
      </w:tr>
      <w:tr w:rsidR="002E02CE" w14:paraId="069A397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BFE446" w14:textId="77777777" w:rsidR="002E02CE" w:rsidRDefault="00000000">
            <w:r>
              <w:rPr>
                <w:b/>
                <w:bCs/>
                <w:color w:val="000000"/>
                <w:sz w:val="20"/>
                <w:szCs w:val="20"/>
              </w:rPr>
              <w:t>Granularité FactTraffic</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A51A8F" w14:textId="77777777" w:rsidR="002E02CE" w:rsidRDefault="00000000">
            <w:r>
              <w:rPr>
                <w:color w:val="000000"/>
                <w:sz w:val="20"/>
                <w:szCs w:val="20"/>
              </w:rPr>
              <w:t>OK</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F8C493" w14:textId="77777777" w:rsidR="002E02CE" w:rsidRDefault="00000000">
            <w:r>
              <w:rPr>
                <w:color w:val="000000"/>
                <w:sz w:val="20"/>
                <w:szCs w:val="20"/>
              </w:rPr>
              <w:t>8 régions × 2 canaux × 1826 jours = 29 216 lignes exactement — table dense, sans trou.</w:t>
            </w:r>
          </w:p>
        </w:tc>
      </w:tr>
      <w:tr w:rsidR="002E02CE" w14:paraId="217A8FF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9A1EE1" w14:textId="77777777" w:rsidR="002E02CE" w:rsidRDefault="00000000">
            <w:r>
              <w:rPr>
                <w:b/>
                <w:bCs/>
                <w:color w:val="000000"/>
                <w:sz w:val="20"/>
                <w:szCs w:val="20"/>
              </w:rPr>
              <w:t>Couverture temporelle FactSales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F897C" w14:textId="77777777" w:rsidR="002E02CE" w:rsidRDefault="00000000">
            <w:r>
              <w:rPr>
                <w:color w:val="000000"/>
                <w:sz w:val="20"/>
                <w:szCs w:val="20"/>
              </w:rPr>
              <w:t>OK</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6A3B87" w14:textId="77777777" w:rsidR="002E02CE" w:rsidRDefault="00000000">
            <w:r>
              <w:rPr>
                <w:color w:val="000000"/>
                <w:sz w:val="20"/>
                <w:szCs w:val="20"/>
              </w:rPr>
              <w:t>Les 1826 jours de la période sont représentés.</w:t>
            </w:r>
          </w:p>
        </w:tc>
      </w:tr>
      <w:tr w:rsidR="002E02CE" w14:paraId="08D71A5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F111F3" w14:textId="77777777" w:rsidR="002E02CE" w:rsidRDefault="00000000">
            <w:r>
              <w:rPr>
                <w:b/>
                <w:bCs/>
                <w:color w:val="000000"/>
                <w:sz w:val="20"/>
                <w:szCs w:val="20"/>
              </w:rPr>
              <w:t>PromoType NULL (53 % des lignes)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4A8BB7" w14:textId="77777777" w:rsidR="002E02CE" w:rsidRDefault="00000000">
            <w:r>
              <w:rPr>
                <w:color w:val="000000"/>
                <w:sz w:val="20"/>
                <w:szCs w:val="20"/>
              </w:rPr>
              <w:t>Confirmé</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DECFD0" w14:textId="77777777" w:rsidR="002E02CE" w:rsidRDefault="00000000">
            <w:r>
              <w:rPr>
                <w:color w:val="000000"/>
                <w:sz w:val="20"/>
                <w:szCs w:val="20"/>
              </w:rPr>
              <w:t>DiscountAmount = 0 à chaque fois : catégorie légitime « prix plein », pas une donnée manquante.</w:t>
            </w:r>
          </w:p>
        </w:tc>
      </w:tr>
      <w:tr w:rsidR="002E02CE" w14:paraId="762970D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1AECF3" w14:textId="77777777" w:rsidR="002E02CE" w:rsidRDefault="00000000">
            <w:r>
              <w:rPr>
                <w:b/>
                <w:bCs/>
                <w:color w:val="000000"/>
                <w:sz w:val="20"/>
                <w:szCs w:val="20"/>
              </w:rPr>
              <w:t>Cohérence Gross / Discount / Net / Profit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010298" w14:textId="77777777" w:rsidR="002E02CE" w:rsidRDefault="00000000">
            <w:r>
              <w:rPr>
                <w:color w:val="000000"/>
                <w:sz w:val="20"/>
                <w:szCs w:val="20"/>
              </w:rPr>
              <w:t>Écarts négligeables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CD2C4D" w14:textId="77777777" w:rsidR="002E02CE" w:rsidRDefault="00000000">
            <w:r>
              <w:rPr>
                <w:color w:val="000000"/>
                <w:sz w:val="20"/>
                <w:szCs w:val="20"/>
              </w:rPr>
              <w:t>Arrondi flottant (≤ 0,02 €) ; ne jamais recalculer ces colonnes par soustraction.</w:t>
            </w:r>
          </w:p>
        </w:tc>
      </w:tr>
      <w:tr w:rsidR="002E02CE" w14:paraId="6E8D9A2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DA02E1" w14:textId="77777777" w:rsidR="002E02CE" w:rsidRDefault="00000000">
            <w:r>
              <w:rPr>
                <w:b/>
                <w:bCs/>
                <w:color w:val="000000"/>
                <w:sz w:val="20"/>
                <w:szCs w:val="20"/>
              </w:rPr>
              <w:t>Valeurs aberrantes (quantités, prix, marges, taux)</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AD3C70" w14:textId="77777777" w:rsidR="002E02CE" w:rsidRDefault="00000000">
            <w:r>
              <w:rPr>
                <w:color w:val="000000"/>
                <w:sz w:val="20"/>
                <w:szCs w:val="20"/>
              </w:rPr>
              <w:t>OK</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F49890" w14:textId="77777777" w:rsidR="002E02CE" w:rsidRDefault="00000000">
            <w:r>
              <w:rPr>
                <w:color w:val="000000"/>
                <w:sz w:val="20"/>
                <w:szCs w:val="20"/>
              </w:rPr>
              <w:t>Aucune anomalie détectée.</w:t>
            </w:r>
          </w:p>
        </w:tc>
      </w:tr>
    </w:tbl>
    <w:p w14:paraId="49600C88" w14:textId="77777777" w:rsidR="002E02CE" w:rsidRDefault="00000000">
      <w:pPr>
        <w:spacing w:before="60" w:after="240"/>
      </w:pPr>
      <w:r>
        <w:rPr>
          <w:i/>
          <w:iCs/>
          <w:color w:val="666666"/>
          <w:sz w:val="18"/>
          <w:szCs w:val="18"/>
        </w:rPr>
        <w:t>Tableau 3 — Synthèse des contrôles qualité réalisés avant exploration.</w:t>
      </w:r>
    </w:p>
    <w:p w14:paraId="04CD9E25" w14:textId="77777777" w:rsidR="002E02CE" w:rsidRDefault="00000000">
      <w:pPr>
        <w:pStyle w:val="Titre2"/>
      </w:pPr>
      <w:bookmarkStart w:id="10" w:name="_Toc232967259"/>
      <w:r>
        <w:lastRenderedPageBreak/>
        <w:t>2.3 Décision de traitement retenue</w:t>
      </w:r>
      <w:bookmarkEnd w:id="10"/>
    </w:p>
    <w:p w14:paraId="5F3891A9" w14:textId="77777777" w:rsidR="002E02CE" w:rsidRDefault="00000000">
      <w:pPr>
        <w:spacing w:after="160" w:line="276" w:lineRule="auto"/>
      </w:pPr>
      <w:r>
        <w:t>Seul un geste de nettoyage a été jugé nécessaire : recoder le NULL de PromoType en un libellé explicite (« Prix Plein ») afin d'éviter l'affichage d'un (Blank) peu professionnel dans les visuels destinés au comité exécutif. Cette transformation est réalisée en Power Query, en aval du fichier source, donc sans modification des données brutes — conforme à la règle du concours qui interdit toute édition de valeur ou ajout de ligne dans les fichiers sources.</w:t>
      </w:r>
    </w:p>
    <w:p w14:paraId="1838DE48" w14:textId="77777777" w:rsidR="002E02CE" w:rsidRDefault="00000000">
      <w:r>
        <w:br w:type="page"/>
      </w:r>
    </w:p>
    <w:p w14:paraId="58B43A7C" w14:textId="77777777" w:rsidR="002E02CE" w:rsidRDefault="00000000">
      <w:pPr>
        <w:pStyle w:val="Titre1"/>
      </w:pPr>
      <w:bookmarkStart w:id="11" w:name="_Toc232967260"/>
      <w:r>
        <w:lastRenderedPageBreak/>
        <w:t>3. Exploration — Quand le revenu varie (axe temporel)</w:t>
      </w:r>
      <w:bookmarkEnd w:id="11"/>
    </w:p>
    <w:p w14:paraId="15348815" w14:textId="77777777" w:rsidR="002E02CE" w:rsidRDefault="00000000">
      <w:pPr>
        <w:spacing w:after="160" w:line="276" w:lineRule="auto"/>
      </w:pPr>
      <w:r>
        <w:t>Conformément au principe « les chiffres tranchent d'abord », la démarche a délibérément évité de construire l'analyse autour de l'hypothèse intuitive (l'impact des tournois sportifs) avant de l'avoir testée. L'ordre d'exploration retenu — temporel → facteurs → mix — suit la logique constat → diagnostic → action.</w:t>
      </w:r>
    </w:p>
    <w:p w14:paraId="1B5549B9" w14:textId="77777777" w:rsidR="002E02CE" w:rsidRDefault="00000000">
      <w:pPr>
        <w:pStyle w:val="Titre2"/>
      </w:pPr>
      <w:bookmarkStart w:id="12" w:name="_Toc232967261"/>
      <w:r>
        <w:t>3.1 Une croissance de fond continue</w:t>
      </w:r>
      <w:bookmarkEnd w:id="12"/>
    </w:p>
    <w:p w14:paraId="31FA0B9C" w14:textId="77777777" w:rsidR="002E02CE" w:rsidRDefault="00000000">
      <w:pPr>
        <w:spacing w:after="160" w:line="276" w:lineRule="auto"/>
      </w:pPr>
      <w:r>
        <w:t>Le revenu net annuel progresse de 1,82 M€ (2021) à 2,60 M€ (2025), soit +43 % cumulé sur cinq ans, avec une croissance moyenne du revenu par jour d'environ +9,5 % chaque année. La progression est continue, sans palier ni dents-de-scie.</w:t>
      </w:r>
    </w:p>
    <w:p w14:paraId="609C2B7F" w14:textId="77777777" w:rsidR="002E02CE" w:rsidRDefault="00000000">
      <w:pPr>
        <w:pStyle w:val="Titre2"/>
      </w:pPr>
      <w:bookmarkStart w:id="13" w:name="_Toc232967262"/>
      <w:r>
        <w:t>3.2 L'effet tournoi, plus subtil qu'attendu</w:t>
      </w:r>
      <w:bookmarkEnd w:id="13"/>
    </w:p>
    <w:p w14:paraId="623DA072" w14:textId="77777777" w:rsidR="002E02CE" w:rsidRDefault="00000000">
      <w:pPr>
        <w:spacing w:after="160" w:line="276" w:lineRule="auto"/>
      </w:pPr>
      <w:r>
        <w:t>La comparaison brute « fenêtre de tournoi versus hors-fenêtre » montre un revenu par jour supérieur de +19 % pendant les fenêtres de tournoi. Mais cette lecture est trompeuse en l'état : la tendance de fond progresse déjà de ~9,5 % par an, et Global Cup 2022 tombe en année 2 tandis que Continental Championship 2024 tombe en année 4 — une partie de l'écart est donc mécaniquement due à la croissance organique, pas au tournoi lui-même.</w:t>
      </w:r>
    </w:p>
    <w:p w14:paraId="7141122C" w14:textId="77777777" w:rsidR="002E02CE" w:rsidRDefault="00000000">
      <w:pPr>
        <w:spacing w:after="160" w:line="276" w:lineRule="auto"/>
      </w:pPr>
      <w:r>
        <w:t>Pour isoler le véritable effet tournoi, chaque fenêtre événementielle a été comparée à la même fenêtre calendaire les autres années (et non à la moyenne globale)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2E02CE" w14:paraId="54FC230B"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8631D3D" w14:textId="77777777" w:rsidR="002E02CE" w:rsidRDefault="00000000">
            <w:pPr>
              <w:jc w:val="center"/>
            </w:pPr>
            <w:r>
              <w:rPr>
                <w:b/>
                <w:bCs/>
                <w:color w:val="FFFFFF"/>
                <w:sz w:val="20"/>
                <w:szCs w:val="20"/>
              </w:rPr>
              <w:t>Fenêtre comparée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65A5B8" w14:textId="77777777" w:rsidR="002E02CE" w:rsidRDefault="00000000">
            <w:pPr>
              <w:jc w:val="center"/>
            </w:pPr>
            <w:r>
              <w:rPr>
                <w:b/>
                <w:bCs/>
                <w:color w:val="FFFFFF"/>
                <w:sz w:val="20"/>
                <w:szCs w:val="20"/>
              </w:rPr>
              <w:t>Revenu / jour pendant l'événement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9367A5" w14:textId="77777777" w:rsidR="002E02CE" w:rsidRDefault="00000000">
            <w:pPr>
              <w:jc w:val="center"/>
            </w:pPr>
            <w:r>
              <w:rPr>
                <w:b/>
                <w:bCs/>
                <w:color w:val="FFFFFF"/>
                <w:sz w:val="20"/>
                <w:szCs w:val="20"/>
              </w:rPr>
              <w:t>Constat</w:t>
            </w:r>
          </w:p>
        </w:tc>
      </w:tr>
      <w:tr w:rsidR="002E02CE" w14:paraId="6DF546C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D951CF" w14:textId="77777777" w:rsidR="002E02CE" w:rsidRDefault="00000000">
            <w:r>
              <w:rPr>
                <w:b/>
                <w:bCs/>
                <w:color w:val="000000"/>
                <w:sz w:val="20"/>
                <w:szCs w:val="20"/>
              </w:rPr>
              <w:t>Global Cup 2022 (10 juin – 24 juil.)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2452DC" w14:textId="77777777" w:rsidR="002E02CE" w:rsidRDefault="00000000">
            <w:r>
              <w:rPr>
                <w:color w:val="000000"/>
                <w:sz w:val="20"/>
                <w:szCs w:val="20"/>
              </w:rPr>
              <w:t>6 781 €</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8B8189" w14:textId="77777777" w:rsidR="002E02CE" w:rsidRDefault="00000000">
            <w:r>
              <w:rPr>
                <w:color w:val="000000"/>
                <w:sz w:val="20"/>
                <w:szCs w:val="20"/>
              </w:rPr>
              <w:t>Dépasse 2021 mais pas 2024, sur la même fenêtre calendaire.</w:t>
            </w:r>
          </w:p>
        </w:tc>
      </w:tr>
      <w:tr w:rsidR="002E02CE" w14:paraId="14022D1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A90A3F" w14:textId="77777777" w:rsidR="002E02CE" w:rsidRDefault="00000000">
            <w:r>
              <w:rPr>
                <w:b/>
                <w:bCs/>
                <w:color w:val="000000"/>
                <w:sz w:val="20"/>
                <w:szCs w:val="20"/>
              </w:rPr>
              <w:t>Continental Championship 2024 (14 juin – 14 juil.)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FAF783" w14:textId="77777777" w:rsidR="002E02CE" w:rsidRDefault="00000000">
            <w:r>
              <w:rPr>
                <w:color w:val="000000"/>
                <w:sz w:val="20"/>
                <w:szCs w:val="20"/>
              </w:rPr>
              <w:t>7 970 €</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65AB1" w14:textId="77777777" w:rsidR="002E02CE" w:rsidRDefault="00000000">
            <w:r>
              <w:rPr>
                <w:color w:val="000000"/>
                <w:sz w:val="20"/>
                <w:szCs w:val="20"/>
              </w:rPr>
              <w:t>Le point le plus haut de la série, mais 2022 et 2025 sur la même fenêtre sont déjà à 6 600–6 800 €.</w:t>
            </w:r>
          </w:p>
        </w:tc>
      </w:tr>
    </w:tbl>
    <w:p w14:paraId="32899232" w14:textId="77777777" w:rsidR="002E02CE" w:rsidRDefault="00000000">
      <w:pPr>
        <w:spacing w:before="60" w:after="240"/>
      </w:pPr>
      <w:r>
        <w:rPr>
          <w:i/>
          <w:iCs/>
          <w:color w:val="666666"/>
          <w:sz w:val="18"/>
          <w:szCs w:val="18"/>
        </w:rPr>
        <w:t>Tableau 4 — Effet tournoi isolé de la tendance de fond, par comparaison à fenêtre calendaire identique.</w:t>
      </w:r>
    </w:p>
    <w:p w14:paraId="62BA47C7" w14:textId="77777777" w:rsidR="002E02CE" w:rsidRDefault="00000000">
      <w:pPr>
        <w:pStyle w:val="Titre2"/>
      </w:pPr>
      <w:bookmarkStart w:id="14" w:name="_Toc232967263"/>
      <w:r>
        <w:t>3.3 Un signal plus régulier : Kit Launch Season</w:t>
      </w:r>
      <w:bookmarkEnd w:id="14"/>
    </w:p>
    <w:p w14:paraId="1F607F4D" w14:textId="77777777" w:rsidR="002E02CE" w:rsidRDefault="00000000">
      <w:pPr>
        <w:spacing w:after="160" w:line="276" w:lineRule="auto"/>
      </w:pPr>
      <w:r>
        <w:t>Sur l'indicateur SeasonLabel, « Kit Launch Season » (305 jours, 7 427 €/jour) devance Global Cup 2022 et talonne Continental Championship 2024 — mais contrairement aux tournois, ce pic se répète chaque année sans exception, en août-septembre, avec une régularité bien supérieure à l'effet tournoi.</w:t>
      </w:r>
    </w:p>
    <w:p w14:paraId="540076ED"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Conclusion de la phase temporelle : </w:t>
      </w:r>
      <w:r>
        <w:rPr>
          <w:color w:val="333333"/>
        </w:rPr>
        <w:t>deux candidats émergent comme drivers potentiels — la croissance organique structurelle (~9,5 %/an) et la saisonnalité récurrente du lancement de kits, tous deux plus réguliers que l'effet tournoi sur les chiffres bruts. Mais à ce stade, le « pourquoi » de cette croissance n'est pas encore connu : vient-elle de plus de trafic, d'une meilleure conversion, ou d'un panier moyen plus élevé ?</w:t>
      </w:r>
    </w:p>
    <w:p w14:paraId="00A6455F" w14:textId="4FC49E1A" w:rsidR="002E02CE" w:rsidRDefault="00000000" w:rsidP="00670552">
      <w:r>
        <w:br w:type="page"/>
      </w:r>
      <w:bookmarkStart w:id="15" w:name="_Toc232967264"/>
      <w:r>
        <w:lastRenderedPageBreak/>
        <w:t>4. Exploration — Pourquoi le revenu varie (axe Facteurs)</w:t>
      </w:r>
      <w:bookmarkEnd w:id="15"/>
    </w:p>
    <w:p w14:paraId="05BFF2AE" w14:textId="77777777" w:rsidR="002E02CE" w:rsidRDefault="00000000">
      <w:pPr>
        <w:spacing w:after="160" w:line="276" w:lineRule="auto"/>
      </w:pPr>
      <w:r>
        <w:t>Le revenu peut se décomposer en trois leviers indépendants : Sessions (trafic) × Taux de conversion × Panier moyen (AOV). Cette décomposition exige de relier FactTraffic et FactSales au même grain (Année × Région × Canal) pour rester valide.</w:t>
      </w:r>
    </w:p>
    <w:p w14:paraId="2FCDB449" w14:textId="77777777" w:rsidR="002E02CE" w:rsidRDefault="00000000">
      <w:pPr>
        <w:pStyle w:val="Titre2"/>
      </w:pPr>
      <w:bookmarkStart w:id="16" w:name="_Toc232967265"/>
      <w:r>
        <w:t>4.1 Résultat global — indexé base 100 en 2021</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2E02CE" w14:paraId="3C353E6F"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8A26E7" w14:textId="77777777" w:rsidR="002E02CE" w:rsidRDefault="00000000">
            <w:pPr>
              <w:jc w:val="center"/>
            </w:pPr>
            <w:r>
              <w:rPr>
                <w:b/>
                <w:bCs/>
                <w:color w:val="FFFFFF"/>
                <w:sz w:val="20"/>
                <w:szCs w:val="20"/>
              </w:rPr>
              <w:t>Indicateur</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031FF5" w14:textId="77777777" w:rsidR="002E02CE" w:rsidRDefault="00000000">
            <w:pPr>
              <w:jc w:val="center"/>
            </w:pPr>
            <w:r>
              <w:rPr>
                <w:b/>
                <w:bCs/>
                <w:color w:val="FFFFFF"/>
                <w:sz w:val="20"/>
                <w:szCs w:val="20"/>
              </w:rPr>
              <w:t>2021</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EDC666" w14:textId="77777777" w:rsidR="002E02CE" w:rsidRDefault="00000000">
            <w:pPr>
              <w:jc w:val="center"/>
            </w:pPr>
            <w:r>
              <w:rPr>
                <w:b/>
                <w:bCs/>
                <w:color w:val="FFFFFF"/>
                <w:sz w:val="20"/>
                <w:szCs w:val="20"/>
              </w:rPr>
              <w:t>2022</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E0E9DB" w14:textId="77777777" w:rsidR="002E02CE" w:rsidRDefault="00000000">
            <w:pPr>
              <w:jc w:val="center"/>
            </w:pPr>
            <w:r>
              <w:rPr>
                <w:b/>
                <w:bCs/>
                <w:color w:val="FFFFFF"/>
                <w:sz w:val="20"/>
                <w:szCs w:val="20"/>
              </w:rPr>
              <w:t>2023</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78563F" w14:textId="77777777" w:rsidR="002E02CE" w:rsidRDefault="00000000">
            <w:pPr>
              <w:jc w:val="center"/>
            </w:pPr>
            <w:r>
              <w:rPr>
                <w:b/>
                <w:bCs/>
                <w:color w:val="FFFFFF"/>
                <w:sz w:val="20"/>
                <w:szCs w:val="20"/>
              </w:rPr>
              <w:t>2024</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9160A4" w14:textId="77777777" w:rsidR="002E02CE" w:rsidRDefault="00000000">
            <w:pPr>
              <w:jc w:val="center"/>
            </w:pPr>
            <w:r>
              <w:rPr>
                <w:b/>
                <w:bCs/>
                <w:color w:val="FFFFFF"/>
                <w:sz w:val="20"/>
                <w:szCs w:val="20"/>
              </w:rPr>
              <w:t>2025</w:t>
            </w:r>
          </w:p>
        </w:tc>
      </w:tr>
      <w:tr w:rsidR="002E02CE" w14:paraId="717A336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A8ED68" w14:textId="77777777" w:rsidR="002E02CE" w:rsidRDefault="00000000">
            <w:r>
              <w:rPr>
                <w:b/>
                <w:bCs/>
                <w:color w:val="000000"/>
                <w:sz w:val="20"/>
                <w:szCs w:val="20"/>
              </w:rPr>
              <w:t>Revenu net</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A89AC1" w14:textId="77777777" w:rsidR="002E02CE" w:rsidRDefault="00000000">
            <w:r>
              <w:rPr>
                <w:color w:val="000000"/>
                <w:sz w:val="20"/>
                <w:szCs w:val="20"/>
              </w:rPr>
              <w:t>100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45AE22" w14:textId="77777777" w:rsidR="002E02CE" w:rsidRDefault="00000000">
            <w:r>
              <w:rPr>
                <w:color w:val="000000"/>
                <w:sz w:val="20"/>
                <w:szCs w:val="20"/>
              </w:rPr>
              <w:t>117,6</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364E40" w14:textId="77777777" w:rsidR="002E02CE" w:rsidRDefault="00000000">
            <w:r>
              <w:rPr>
                <w:color w:val="000000"/>
                <w:sz w:val="20"/>
                <w:szCs w:val="20"/>
              </w:rPr>
              <w:t>122,3</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64EFC6" w14:textId="77777777" w:rsidR="002E02CE" w:rsidRDefault="00000000">
            <w:r>
              <w:rPr>
                <w:color w:val="000000"/>
                <w:sz w:val="20"/>
                <w:szCs w:val="20"/>
              </w:rPr>
              <w:t>135,3</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4F68F4" w14:textId="77777777" w:rsidR="002E02CE" w:rsidRDefault="00000000">
            <w:r>
              <w:rPr>
                <w:color w:val="000000"/>
                <w:sz w:val="20"/>
                <w:szCs w:val="20"/>
              </w:rPr>
              <w:t>143,0</w:t>
            </w:r>
          </w:p>
        </w:tc>
      </w:tr>
      <w:tr w:rsidR="002E02CE" w14:paraId="6B33BEC1"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1E8CD" w14:textId="77777777" w:rsidR="002E02CE" w:rsidRDefault="00000000">
            <w:r>
              <w:rPr>
                <w:b/>
                <w:bCs/>
                <w:color w:val="000000"/>
                <w:sz w:val="20"/>
                <w:szCs w:val="20"/>
              </w:rPr>
              <w:t>Sessions (trafic)</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CF549" w14:textId="77777777" w:rsidR="002E02CE" w:rsidRDefault="00000000">
            <w:r>
              <w:rPr>
                <w:color w:val="000000"/>
                <w:sz w:val="20"/>
                <w:szCs w:val="20"/>
              </w:rPr>
              <w:t>100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AD241" w14:textId="77777777" w:rsidR="002E02CE" w:rsidRDefault="00000000">
            <w:r>
              <w:rPr>
                <w:color w:val="000000"/>
                <w:sz w:val="20"/>
                <w:szCs w:val="20"/>
              </w:rPr>
              <w:t>115,1</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60CE32" w14:textId="77777777" w:rsidR="002E02CE" w:rsidRDefault="00000000">
            <w:r>
              <w:rPr>
                <w:color w:val="000000"/>
                <w:sz w:val="20"/>
                <w:szCs w:val="20"/>
              </w:rPr>
              <w:t>119,3</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3320D" w14:textId="77777777" w:rsidR="002E02CE" w:rsidRDefault="00000000">
            <w:r>
              <w:rPr>
                <w:color w:val="000000"/>
                <w:sz w:val="20"/>
                <w:szCs w:val="20"/>
              </w:rPr>
              <w:t>131,5</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3E70E" w14:textId="77777777" w:rsidR="002E02CE" w:rsidRDefault="00000000">
            <w:r>
              <w:rPr>
                <w:color w:val="000000"/>
                <w:sz w:val="20"/>
                <w:szCs w:val="20"/>
              </w:rPr>
              <w:t>138,2</w:t>
            </w:r>
          </w:p>
        </w:tc>
      </w:tr>
      <w:tr w:rsidR="002E02CE" w14:paraId="29810AA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29D492" w14:textId="77777777" w:rsidR="002E02CE" w:rsidRDefault="00000000">
            <w:r>
              <w:rPr>
                <w:b/>
                <w:bCs/>
                <w:color w:val="000000"/>
                <w:sz w:val="20"/>
                <w:szCs w:val="20"/>
              </w:rPr>
              <w:t>Taux de conversion</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CCB297" w14:textId="77777777" w:rsidR="002E02CE" w:rsidRDefault="00000000">
            <w:r>
              <w:rPr>
                <w:color w:val="000000"/>
                <w:sz w:val="20"/>
                <w:szCs w:val="20"/>
              </w:rPr>
              <w:t>100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EC249F" w14:textId="77777777" w:rsidR="002E02CE" w:rsidRDefault="00000000">
            <w:r>
              <w:rPr>
                <w:color w:val="000000"/>
                <w:sz w:val="20"/>
                <w:szCs w:val="20"/>
              </w:rPr>
              <w:t>100,8</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45B278" w14:textId="77777777" w:rsidR="002E02CE" w:rsidRDefault="00000000">
            <w:r>
              <w:rPr>
                <w:color w:val="000000"/>
                <w:sz w:val="20"/>
                <w:szCs w:val="20"/>
              </w:rPr>
              <w:t>100,0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DC5CBE" w14:textId="77777777" w:rsidR="002E02CE" w:rsidRDefault="00000000">
            <w:r>
              <w:rPr>
                <w:color w:val="000000"/>
                <w:sz w:val="20"/>
                <w:szCs w:val="20"/>
              </w:rPr>
              <w:t>100,6</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EB2DF" w14:textId="77777777" w:rsidR="002E02CE" w:rsidRDefault="00000000">
            <w:r>
              <w:rPr>
                <w:color w:val="000000"/>
                <w:sz w:val="20"/>
                <w:szCs w:val="20"/>
              </w:rPr>
              <w:t>100,0</w:t>
            </w:r>
          </w:p>
        </w:tc>
      </w:tr>
      <w:tr w:rsidR="002E02CE" w14:paraId="201A2612"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26309" w14:textId="77777777" w:rsidR="002E02CE" w:rsidRDefault="00000000">
            <w:r>
              <w:rPr>
                <w:b/>
                <w:bCs/>
                <w:color w:val="000000"/>
                <w:sz w:val="20"/>
                <w:szCs w:val="20"/>
              </w:rPr>
              <w:t>Panier moyen (AOV)</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1E3D37" w14:textId="77777777" w:rsidR="002E02CE" w:rsidRDefault="00000000">
            <w:r>
              <w:rPr>
                <w:color w:val="000000"/>
                <w:sz w:val="20"/>
                <w:szCs w:val="20"/>
              </w:rPr>
              <w:t>100</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F44DE" w14:textId="77777777" w:rsidR="002E02CE" w:rsidRDefault="00000000">
            <w:r>
              <w:rPr>
                <w:color w:val="000000"/>
                <w:sz w:val="20"/>
                <w:szCs w:val="20"/>
              </w:rPr>
              <w:t>99,8</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A1C2FA" w14:textId="77777777" w:rsidR="002E02CE" w:rsidRDefault="00000000">
            <w:r>
              <w:rPr>
                <w:color w:val="000000"/>
                <w:sz w:val="20"/>
                <w:szCs w:val="20"/>
              </w:rPr>
              <w:t>100,8</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1D1DB" w14:textId="77777777" w:rsidR="002E02CE" w:rsidRDefault="00000000">
            <w:r>
              <w:rPr>
                <w:color w:val="000000"/>
                <w:sz w:val="20"/>
                <w:szCs w:val="20"/>
              </w:rPr>
              <w:t>100,7</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C7AA7" w14:textId="77777777" w:rsidR="002E02CE" w:rsidRDefault="00000000">
            <w:r>
              <w:rPr>
                <w:color w:val="000000"/>
                <w:sz w:val="20"/>
                <w:szCs w:val="20"/>
              </w:rPr>
              <w:t>102,1</w:t>
            </w:r>
          </w:p>
        </w:tc>
      </w:tr>
    </w:tbl>
    <w:p w14:paraId="26334C5E" w14:textId="77777777" w:rsidR="002E02CE" w:rsidRDefault="00000000">
      <w:pPr>
        <w:spacing w:before="60" w:after="240"/>
      </w:pPr>
      <w:r>
        <w:rPr>
          <w:i/>
          <w:iCs/>
          <w:color w:val="666666"/>
          <w:sz w:val="18"/>
          <w:szCs w:val="18"/>
        </w:rPr>
        <w:t>Tableau 5 — Décomposition de la croissance du revenu, indice base 100 en 2021.</w:t>
      </w:r>
    </w:p>
    <w:p w14:paraId="19058519"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Verdict : </w:t>
      </w:r>
      <w:r>
        <w:rPr>
          <w:color w:val="333333"/>
        </w:rPr>
        <w:t>le trafic (+38,2 %) explique presque intégralement la croissance du revenu (+43,0 %). Le taux de conversion est parfaitement stable (entre 2,99 % et 3,01 %, littéralement plat à la décimale près). Le panier moyen ne progresse que de +2,1 % en cinq ans. PitchSide Pro ne croît pas parce qu'elle convertit mieux ou vend plus cher — elle croît uniquement parce qu'elle attire plus de visiteurs.</w:t>
      </w:r>
    </w:p>
    <w:p w14:paraId="03CFC67C" w14:textId="77777777" w:rsidR="002E02CE" w:rsidRDefault="00000000">
      <w:pPr>
        <w:pStyle w:val="Titre2"/>
      </w:pPr>
      <w:bookmarkStart w:id="17" w:name="_Toc232967266"/>
      <w:r>
        <w:t>4.2 Vérification par région — le constat tient-il, ou est-ce un effet de moyenne ?</w:t>
      </w:r>
      <w:bookmarkEnd w:id="17"/>
    </w:p>
    <w:p w14:paraId="54FE3194" w14:textId="77777777" w:rsidR="002E02CE" w:rsidRDefault="00000000">
      <w:pPr>
        <w:spacing w:after="160" w:line="276" w:lineRule="auto"/>
      </w:pPr>
      <w:r>
        <w:t>Le risque méthodologique à ce stade est qu'un agrégat global plat masque des disparités régionales opposées qui s'annulent. La vérification pays par pays confirme l'homogénéité du phénomène :</w:t>
      </w:r>
    </w:p>
    <w:p w14:paraId="36C0CCE3" w14:textId="77777777" w:rsidR="002E02CE" w:rsidRDefault="00000000">
      <w:pPr>
        <w:pStyle w:val="Paragraphedeliste"/>
        <w:numPr>
          <w:ilvl w:val="0"/>
          <w:numId w:val="2"/>
        </w:numPr>
        <w:spacing w:after="100" w:line="276" w:lineRule="auto"/>
      </w:pPr>
      <w:r>
        <w:t>Taux de conversion : variation maximale de +0,9 % (Brésil) à -0,5 % (Japon / États-Unis) sur cinq ans — du bruit statistique, pas un signal, dans les huit pays sans exception.</w:t>
      </w:r>
    </w:p>
    <w:p w14:paraId="1D80FD4E" w14:textId="77777777" w:rsidR="002E02CE" w:rsidRDefault="00000000">
      <w:pPr>
        <w:pStyle w:val="Paragraphedeliste"/>
        <w:numPr>
          <w:ilvl w:val="0"/>
          <w:numId w:val="2"/>
        </w:numPr>
        <w:spacing w:after="100" w:line="276" w:lineRule="auto"/>
      </w:pPr>
      <w:r>
        <w:t>Trafic : progression quasi identique partout, +37 % à +39 % selon les pays.</w:t>
      </w:r>
    </w:p>
    <w:p w14:paraId="78824ED5" w14:textId="77777777" w:rsidR="002E02CE" w:rsidRDefault="00000000">
      <w:pPr>
        <w:spacing w:after="160" w:line="276" w:lineRule="auto"/>
      </w:pPr>
      <w:r>
        <w:t>En revanche, le revenu diverge entre pays — c'est le premier signal régional exploitable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3160"/>
      </w:tblGrid>
      <w:tr w:rsidR="002E02CE" w14:paraId="49DB303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1735BE" w14:textId="77777777" w:rsidR="002E02CE" w:rsidRDefault="00000000">
            <w:pPr>
              <w:jc w:val="center"/>
            </w:pPr>
            <w:r>
              <w:rPr>
                <w:b/>
                <w:bCs/>
                <w:color w:val="FFFFFF"/>
                <w:sz w:val="20"/>
                <w:szCs w:val="20"/>
              </w:rPr>
              <w:t>Pays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759750" w14:textId="77777777" w:rsidR="002E02CE" w:rsidRDefault="00000000">
            <w:pPr>
              <w:jc w:val="center"/>
            </w:pPr>
            <w:r>
              <w:rPr>
                <w:b/>
                <w:bCs/>
                <w:color w:val="FFFFFF"/>
                <w:sz w:val="20"/>
                <w:szCs w:val="20"/>
              </w:rPr>
              <w:t>Sessions (indice 2025)</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3A9102" w14:textId="77777777" w:rsidR="002E02CE" w:rsidRDefault="00000000">
            <w:pPr>
              <w:jc w:val="center"/>
            </w:pPr>
            <w:r>
              <w:rPr>
                <w:b/>
                <w:bCs/>
                <w:color w:val="FFFFFF"/>
                <w:sz w:val="20"/>
                <w:szCs w:val="20"/>
              </w:rPr>
              <w:t>Revenu (indice 2025)</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D9D55E" w14:textId="77777777" w:rsidR="002E02CE" w:rsidRDefault="00000000">
            <w:pPr>
              <w:jc w:val="center"/>
            </w:pPr>
            <w:r>
              <w:rPr>
                <w:b/>
                <w:bCs/>
                <w:color w:val="FFFFFF"/>
                <w:sz w:val="20"/>
                <w:szCs w:val="20"/>
              </w:rPr>
              <w:t>Sur-performance du revenu vs trafic</w:t>
            </w:r>
          </w:p>
        </w:tc>
      </w:tr>
      <w:tr w:rsidR="002E02CE" w14:paraId="7F4585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D6A418" w14:textId="77777777" w:rsidR="002E02CE" w:rsidRDefault="00000000">
            <w:r>
              <w:rPr>
                <w:b/>
                <w:bCs/>
                <w:color w:val="000000"/>
                <w:sz w:val="20"/>
                <w:szCs w:val="20"/>
              </w:rPr>
              <w:t>Allemagne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D622A4C" w14:textId="77777777" w:rsidR="002E02CE" w:rsidRDefault="00000000">
            <w:r>
              <w:rPr>
                <w:color w:val="000000"/>
                <w:sz w:val="20"/>
                <w:szCs w:val="20"/>
              </w:rPr>
              <w:t>138,1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FD8FEF" w14:textId="77777777" w:rsidR="002E02CE" w:rsidRDefault="00000000">
            <w:r>
              <w:rPr>
                <w:color w:val="000000"/>
                <w:sz w:val="20"/>
                <w:szCs w:val="20"/>
              </w:rPr>
              <w:t>150,5</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879400" w14:textId="77777777" w:rsidR="002E02CE" w:rsidRDefault="00000000">
            <w:r>
              <w:rPr>
                <w:color w:val="000000"/>
                <w:sz w:val="20"/>
                <w:szCs w:val="20"/>
              </w:rPr>
              <w:t>+12,4 pts</w:t>
            </w:r>
          </w:p>
        </w:tc>
      </w:tr>
      <w:tr w:rsidR="002E02CE" w14:paraId="5C0E79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07D75" w14:textId="77777777" w:rsidR="002E02CE" w:rsidRDefault="00000000">
            <w:r>
              <w:rPr>
                <w:b/>
                <w:bCs/>
                <w:color w:val="000000"/>
                <w:sz w:val="20"/>
                <w:szCs w:val="20"/>
              </w:rPr>
              <w:t>Brésil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9B5C3" w14:textId="77777777" w:rsidR="002E02CE" w:rsidRDefault="00000000">
            <w:r>
              <w:rPr>
                <w:color w:val="000000"/>
                <w:sz w:val="20"/>
                <w:szCs w:val="20"/>
              </w:rPr>
              <w:t>137,6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AEE5E3" w14:textId="77777777" w:rsidR="002E02CE" w:rsidRDefault="00000000">
            <w:r>
              <w:rPr>
                <w:color w:val="000000"/>
                <w:sz w:val="20"/>
                <w:szCs w:val="20"/>
              </w:rPr>
              <w:t>148,7</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60C9B" w14:textId="77777777" w:rsidR="002E02CE" w:rsidRDefault="00000000">
            <w:r>
              <w:rPr>
                <w:color w:val="000000"/>
                <w:sz w:val="20"/>
                <w:szCs w:val="20"/>
              </w:rPr>
              <w:t>+11,1 pts</w:t>
            </w:r>
          </w:p>
        </w:tc>
      </w:tr>
      <w:tr w:rsidR="002E02CE" w14:paraId="7BA4E14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5E430E" w14:textId="77777777" w:rsidR="002E02CE" w:rsidRDefault="00000000">
            <w:r>
              <w:rPr>
                <w:b/>
                <w:bCs/>
                <w:color w:val="000000"/>
                <w:sz w:val="20"/>
                <w:szCs w:val="20"/>
              </w:rPr>
              <w:t>États-Unis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3F30D2" w14:textId="77777777" w:rsidR="002E02CE" w:rsidRDefault="00000000">
            <w:r>
              <w:rPr>
                <w:color w:val="000000"/>
                <w:sz w:val="20"/>
                <w:szCs w:val="20"/>
              </w:rPr>
              <w:t>138,0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440E618" w14:textId="77777777" w:rsidR="002E02CE" w:rsidRDefault="00000000">
            <w:r>
              <w:rPr>
                <w:color w:val="000000"/>
                <w:sz w:val="20"/>
                <w:szCs w:val="20"/>
              </w:rPr>
              <w:t>148,2</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C7FF96" w14:textId="77777777" w:rsidR="002E02CE" w:rsidRDefault="00000000">
            <w:r>
              <w:rPr>
                <w:color w:val="000000"/>
                <w:sz w:val="20"/>
                <w:szCs w:val="20"/>
              </w:rPr>
              <w:t>+10,2 pts</w:t>
            </w:r>
          </w:p>
        </w:tc>
      </w:tr>
      <w:tr w:rsidR="002E02CE" w14:paraId="7452EE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42F92" w14:textId="77777777" w:rsidR="002E02CE" w:rsidRDefault="00000000">
            <w:r>
              <w:rPr>
                <w:b/>
                <w:bCs/>
                <w:color w:val="000000"/>
                <w:sz w:val="20"/>
                <w:szCs w:val="20"/>
              </w:rPr>
              <w:t>Espagne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1E3C2" w14:textId="77777777" w:rsidR="002E02CE" w:rsidRDefault="00000000">
            <w:r>
              <w:rPr>
                <w:color w:val="000000"/>
                <w:sz w:val="20"/>
                <w:szCs w:val="20"/>
              </w:rPr>
              <w:t>139,2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0B5CB9" w14:textId="77777777" w:rsidR="002E02CE" w:rsidRDefault="00000000">
            <w:r>
              <w:rPr>
                <w:color w:val="000000"/>
                <w:sz w:val="20"/>
                <w:szCs w:val="20"/>
              </w:rPr>
              <w:t>145,5</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0F77A" w14:textId="77777777" w:rsidR="002E02CE" w:rsidRDefault="00000000">
            <w:r>
              <w:rPr>
                <w:color w:val="000000"/>
                <w:sz w:val="20"/>
                <w:szCs w:val="20"/>
              </w:rPr>
              <w:t>+6,3 pts</w:t>
            </w:r>
          </w:p>
        </w:tc>
      </w:tr>
      <w:tr w:rsidR="002E02CE" w14:paraId="0DA1EC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C84E257" w14:textId="77777777" w:rsidR="002E02CE" w:rsidRDefault="00000000">
            <w:r>
              <w:rPr>
                <w:b/>
                <w:bCs/>
                <w:color w:val="000000"/>
                <w:sz w:val="20"/>
                <w:szCs w:val="20"/>
              </w:rPr>
              <w:t>Mexique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EBF25C" w14:textId="77777777" w:rsidR="002E02CE" w:rsidRDefault="00000000">
            <w:r>
              <w:rPr>
                <w:color w:val="000000"/>
                <w:sz w:val="20"/>
                <w:szCs w:val="20"/>
              </w:rPr>
              <w:t>138,9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BD6339" w14:textId="77777777" w:rsidR="002E02CE" w:rsidRDefault="00000000">
            <w:r>
              <w:rPr>
                <w:color w:val="000000"/>
                <w:sz w:val="20"/>
                <w:szCs w:val="20"/>
              </w:rPr>
              <w:t>143,9</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A947D90" w14:textId="77777777" w:rsidR="002E02CE" w:rsidRDefault="00000000">
            <w:r>
              <w:rPr>
                <w:color w:val="000000"/>
                <w:sz w:val="20"/>
                <w:szCs w:val="20"/>
              </w:rPr>
              <w:t>+5,0 pts</w:t>
            </w:r>
          </w:p>
        </w:tc>
      </w:tr>
      <w:tr w:rsidR="002E02CE" w14:paraId="4B2501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8201D" w14:textId="77777777" w:rsidR="002E02CE" w:rsidRDefault="00000000">
            <w:r>
              <w:rPr>
                <w:b/>
                <w:bCs/>
                <w:color w:val="000000"/>
                <w:sz w:val="20"/>
                <w:szCs w:val="20"/>
              </w:rPr>
              <w:t>Australie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4BE72" w14:textId="77777777" w:rsidR="002E02CE" w:rsidRDefault="00000000">
            <w:r>
              <w:rPr>
                <w:color w:val="000000"/>
                <w:sz w:val="20"/>
                <w:szCs w:val="20"/>
              </w:rPr>
              <w:t>137,9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AE0F2" w14:textId="77777777" w:rsidR="002E02CE" w:rsidRDefault="00000000">
            <w:r>
              <w:rPr>
                <w:color w:val="000000"/>
                <w:sz w:val="20"/>
                <w:szCs w:val="20"/>
              </w:rPr>
              <w:t>141,1</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49355" w14:textId="77777777" w:rsidR="002E02CE" w:rsidRDefault="00000000">
            <w:r>
              <w:rPr>
                <w:color w:val="000000"/>
                <w:sz w:val="20"/>
                <w:szCs w:val="20"/>
              </w:rPr>
              <w:t>+3,2 pts</w:t>
            </w:r>
          </w:p>
        </w:tc>
      </w:tr>
      <w:tr w:rsidR="002E02CE" w14:paraId="305D58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B8E6EB" w14:textId="77777777" w:rsidR="002E02CE" w:rsidRDefault="00000000">
            <w:r>
              <w:rPr>
                <w:b/>
                <w:bCs/>
                <w:color w:val="000000"/>
                <w:sz w:val="20"/>
                <w:szCs w:val="20"/>
              </w:rPr>
              <w:lastRenderedPageBreak/>
              <w:t>Japon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7FB2C5" w14:textId="77777777" w:rsidR="002E02CE" w:rsidRDefault="00000000">
            <w:r>
              <w:rPr>
                <w:color w:val="000000"/>
                <w:sz w:val="20"/>
                <w:szCs w:val="20"/>
              </w:rPr>
              <w:t>138,8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F9EA8A" w14:textId="77777777" w:rsidR="002E02CE" w:rsidRDefault="00000000">
            <w:r>
              <w:rPr>
                <w:color w:val="000000"/>
                <w:sz w:val="20"/>
                <w:szCs w:val="20"/>
              </w:rPr>
              <w:t>140,6</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A761BE" w14:textId="77777777" w:rsidR="002E02CE" w:rsidRDefault="00000000">
            <w:r>
              <w:rPr>
                <w:color w:val="000000"/>
                <w:sz w:val="20"/>
                <w:szCs w:val="20"/>
              </w:rPr>
              <w:t>+1,8 pts</w:t>
            </w:r>
          </w:p>
        </w:tc>
      </w:tr>
      <w:tr w:rsidR="002E02CE" w14:paraId="6BB2F3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8D33F" w14:textId="77777777" w:rsidR="002E02CE" w:rsidRDefault="00000000">
            <w:r>
              <w:rPr>
                <w:b/>
                <w:bCs/>
                <w:color w:val="000000"/>
                <w:sz w:val="20"/>
                <w:szCs w:val="20"/>
              </w:rPr>
              <w:t>Royaume-Uni</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CC24C" w14:textId="77777777" w:rsidR="002E02CE" w:rsidRDefault="00000000">
            <w:r>
              <w:rPr>
                <w:color w:val="000000"/>
                <w:sz w:val="20"/>
                <w:szCs w:val="20"/>
              </w:rPr>
              <w:t>137,0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D6B01A" w14:textId="77777777" w:rsidR="002E02CE" w:rsidRDefault="00000000">
            <w:r>
              <w:rPr>
                <w:color w:val="000000"/>
                <w:sz w:val="20"/>
                <w:szCs w:val="20"/>
              </w:rPr>
              <w:t>132,2</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ED520" w14:textId="77777777" w:rsidR="002E02CE" w:rsidRDefault="00000000">
            <w:r>
              <w:rPr>
                <w:color w:val="000000"/>
                <w:sz w:val="20"/>
                <w:szCs w:val="20"/>
              </w:rPr>
              <w:t>-4,8 pts</w:t>
            </w:r>
          </w:p>
        </w:tc>
      </w:tr>
    </w:tbl>
    <w:p w14:paraId="4B42F4FA" w14:textId="77777777" w:rsidR="002E02CE" w:rsidRDefault="00000000">
      <w:pPr>
        <w:spacing w:before="60" w:after="240"/>
      </w:pPr>
      <w:r>
        <w:rPr>
          <w:i/>
          <w:iCs/>
          <w:color w:val="666666"/>
          <w:sz w:val="18"/>
          <w:szCs w:val="18"/>
        </w:rPr>
        <w:t>Tableau 6 — Écart entre croissance du revenu et croissance du trafic, par pays (2021→2025).</w:t>
      </w:r>
    </w:p>
    <w:p w14:paraId="62BCE692" w14:textId="77777777" w:rsidR="002E02CE" w:rsidRDefault="00000000">
      <w:pPr>
        <w:spacing w:after="160" w:line="276" w:lineRule="auto"/>
      </w:pPr>
      <w:r>
        <w:t>Le panier moyen confirme la mécanique : Allemagne (+3,5 %), Espagne (+4,1 %) et Mexique (+3,9 %) ont le panier moyen qui progresse le plus ; le Royaume-Uni est le seul pays où l'AOV recule (-1,0 %).</w:t>
      </w:r>
    </w:p>
    <w:p w14:paraId="03E66162" w14:textId="77777777" w:rsidR="002E02CE" w:rsidRDefault="00000000">
      <w:pPr>
        <w:pStyle w:val="Titre2"/>
      </w:pPr>
      <w:bookmarkStart w:id="18" w:name="_Toc232967267"/>
      <w:r>
        <w:t>4.3 Vérification par canal — Web versus Mobile App</w:t>
      </w:r>
      <w:bookmarkEnd w:id="18"/>
    </w:p>
    <w:p w14:paraId="3832A71F" w14:textId="77777777" w:rsidR="002E02CE" w:rsidRDefault="00000000">
      <w:pPr>
        <w:spacing w:after="160" w:line="276" w:lineRule="auto"/>
      </w:pPr>
      <w:r>
        <w:t>Le diagnostic a ensuite été testé sur un axe totalement indépendant des régions, pour s'assurer qu'il s'agit bien d'un trait structurel de l'entreprise et non d'un artefact géographique.</w:t>
      </w:r>
    </w:p>
    <w:p w14:paraId="0A4224C9" w14:textId="77777777" w:rsidR="002E02CE" w:rsidRDefault="00000000">
      <w:pPr>
        <w:pStyle w:val="Paragraphedeliste"/>
        <w:numPr>
          <w:ilvl w:val="0"/>
          <w:numId w:val="2"/>
        </w:numPr>
        <w:spacing w:after="100" w:line="276" w:lineRule="auto"/>
      </w:pPr>
      <w:r>
        <w:t>Taux de conversion : Mobile App 3,48 % → 3,48 % (delta nul) ; Web 3,03 % → 3,03 % (delta -0,10 %) — figé sur les deux canaux.</w:t>
      </w:r>
    </w:p>
    <w:p w14:paraId="2689E24D" w14:textId="77777777" w:rsidR="002E02CE" w:rsidRDefault="00000000">
      <w:pPr>
        <w:pStyle w:val="Paragraphedeliste"/>
        <w:numPr>
          <w:ilvl w:val="0"/>
          <w:numId w:val="2"/>
        </w:numPr>
        <w:spacing w:after="100" w:line="276" w:lineRule="auto"/>
      </w:pPr>
      <w:r>
        <w:t>Trafic : +38,2 % sur les deux canaux, à la décimale près identique.</w:t>
      </w:r>
    </w:p>
    <w:p w14:paraId="12BB6F0E" w14:textId="77777777" w:rsidR="002E02CE" w:rsidRDefault="00000000">
      <w:pPr>
        <w:pStyle w:val="Paragraphedeliste"/>
        <w:numPr>
          <w:ilvl w:val="0"/>
          <w:numId w:val="2"/>
        </w:numPr>
        <w:spacing w:after="100" w:line="276" w:lineRule="auto"/>
      </w:pPr>
      <w:r>
        <w:t>Mix de répartition Web / Mobile (54,7 % / 45,3 % des sessions) : inchangé sur cinq ans, presque au dixième de point près.</w:t>
      </w:r>
    </w:p>
    <w:p w14:paraId="3BA01FB6" w14:textId="77777777" w:rsidR="002E02CE" w:rsidRDefault="00000000">
      <w:pPr>
        <w:pStyle w:val="Paragraphedeliste"/>
        <w:numPr>
          <w:ilvl w:val="0"/>
          <w:numId w:val="2"/>
        </w:numPr>
        <w:spacing w:after="100" w:line="276" w:lineRule="auto"/>
      </w:pPr>
      <w:r>
        <w:t>Taux d'ajout au panier : Mobile App engage davantage (16,0 % vs 13,9 % pour Web), un écart stable dans le temps — fait structurel intéressant mais non porteur de croissance.</w:t>
      </w:r>
    </w:p>
    <w:p w14:paraId="08ED68BB"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Conclusion de la vérification croisée : </w:t>
      </w:r>
      <w:r>
        <w:rPr>
          <w:color w:val="333333"/>
        </w:rPr>
        <w:t>le diagnostic est robuste sur deux axes indépendants (8 pays, 2 canaux). Le trafic est le driver quasi exclusif, la conversion n'a strictement pas bougé nulle part, et le panier moyen est la seule variable montrant une vraie hétérogénéité — concentrée sur quelques marchés.</w:t>
      </w:r>
    </w:p>
    <w:p w14:paraId="16D778B8" w14:textId="77777777" w:rsidR="002E02CE" w:rsidRDefault="00000000">
      <w:r>
        <w:br w:type="page"/>
      </w:r>
    </w:p>
    <w:p w14:paraId="633EF9D1" w14:textId="77777777" w:rsidR="002E02CE" w:rsidRDefault="00000000">
      <w:pPr>
        <w:pStyle w:val="Titre1"/>
      </w:pPr>
      <w:bookmarkStart w:id="19" w:name="_Toc232967268"/>
      <w:r>
        <w:lastRenderedPageBreak/>
        <w:t>5. Exploration — Où agir (axe Mix)</w:t>
      </w:r>
      <w:bookmarkEnd w:id="19"/>
    </w:p>
    <w:p w14:paraId="0202B201" w14:textId="77777777" w:rsidR="002E02CE" w:rsidRDefault="00000000">
      <w:pPr>
        <w:spacing w:after="160" w:line="276" w:lineRule="auto"/>
      </w:pPr>
      <w:r>
        <w:t>Cette phase visait à expliquer l'écart régional identifié à l'étape précédente (Allemagne / États-Unis / Brésil en sur-performance, Royaume-Uni en sous-performance), en testant en priorité les hypothèses actionnables avant les hypothèses purement contextuelles.</w:t>
      </w:r>
    </w:p>
    <w:p w14:paraId="3C737321" w14:textId="77777777" w:rsidR="002E02CE" w:rsidRDefault="00000000">
      <w:pPr>
        <w:pStyle w:val="Titre2"/>
      </w:pPr>
      <w:bookmarkStart w:id="20" w:name="_Toc232967269"/>
      <w:r>
        <w:t>5.1 Hypothèse testée n°1 — Le mix produit</w:t>
      </w:r>
      <w:bookmarkEnd w:id="20"/>
    </w:p>
    <w:p w14:paraId="34149D9F" w14:textId="77777777" w:rsidR="002E02CE" w:rsidRDefault="00000000">
      <w:pPr>
        <w:spacing w:after="160" w:line="276" w:lineRule="auto"/>
      </w:pPr>
      <w:r>
        <w:t>Hypothèse : les marchés en sur-performance vendent-ils davantage de produits premium (catégories, clubs, stars)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02CE" w14:paraId="7B63D35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EFA512" w14:textId="77777777" w:rsidR="002E02CE" w:rsidRDefault="00000000">
            <w:pPr>
              <w:jc w:val="center"/>
            </w:pPr>
            <w:r>
              <w:rPr>
                <w:b/>
                <w:bCs/>
                <w:color w:val="FFFFFF"/>
                <w:sz w:val="20"/>
                <w:szCs w:val="20"/>
              </w:rPr>
              <w:t>Dimension testée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9C61E2" w14:textId="77777777" w:rsidR="002E02CE" w:rsidRDefault="00000000">
            <w:pPr>
              <w:jc w:val="center"/>
            </w:pPr>
            <w:r>
              <w:rPr>
                <w:b/>
                <w:bCs/>
                <w:color w:val="FFFFFF"/>
                <w:sz w:val="20"/>
                <w:szCs w:val="20"/>
              </w:rPr>
              <w:t>Résultat</w:t>
            </w:r>
          </w:p>
        </w:tc>
      </w:tr>
      <w:tr w:rsidR="002E02CE" w14:paraId="3F99B1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B0CD29" w14:textId="77777777" w:rsidR="002E02CE" w:rsidRDefault="00000000">
            <w:r>
              <w:rPr>
                <w:b/>
                <w:bCs/>
                <w:color w:val="000000"/>
                <w:sz w:val="20"/>
                <w:szCs w:val="20"/>
              </w:rPr>
              <w:t>Mix Category (Kits / Footwear / etc.)</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BB7C3A" w14:textId="77777777" w:rsidR="002E02CE" w:rsidRDefault="00000000">
            <w:r>
              <w:rPr>
                <w:color w:val="000000"/>
                <w:sz w:val="20"/>
                <w:szCs w:val="20"/>
              </w:rPr>
              <w:t>Quasi identique entre les 4 pays — Kits 39-42 %, Footwear 37-39 % partout.</w:t>
            </w:r>
          </w:p>
        </w:tc>
      </w:tr>
      <w:tr w:rsidR="002E02CE" w14:paraId="424D01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02D14" w14:textId="77777777" w:rsidR="002E02CE" w:rsidRDefault="00000000">
            <w:r>
              <w:rPr>
                <w:b/>
                <w:bCs/>
                <w:color w:val="000000"/>
                <w:sz w:val="20"/>
                <w:szCs w:val="20"/>
              </w:rPr>
              <w:t>Mix TeamType (Club vs National)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DFE2F" w14:textId="77777777" w:rsidR="002E02CE" w:rsidRDefault="00000000">
            <w:r>
              <w:rPr>
                <w:color w:val="000000"/>
                <w:sz w:val="20"/>
                <w:szCs w:val="20"/>
              </w:rPr>
              <w:t>81,7 % à 83,2 % en Club partout — encore plus serré.</w:t>
            </w:r>
          </w:p>
        </w:tc>
      </w:tr>
      <w:tr w:rsidR="002E02CE" w14:paraId="1374DD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302CD9" w14:textId="77777777" w:rsidR="002E02CE" w:rsidRDefault="00000000">
            <w:r>
              <w:rPr>
                <w:b/>
                <w:bCs/>
                <w:color w:val="000000"/>
                <w:sz w:val="20"/>
                <w:szCs w:val="20"/>
              </w:rPr>
              <w:t>Part Édition Limitée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353D14" w14:textId="77777777" w:rsidR="002E02CE" w:rsidRDefault="00000000">
            <w:r>
              <w:rPr>
                <w:color w:val="000000"/>
                <w:sz w:val="20"/>
                <w:szCs w:val="20"/>
              </w:rPr>
              <w:t>4,4 % à 5,2 % du revenu partout — pas de différence notable.</w:t>
            </w:r>
          </w:p>
        </w:tc>
      </w:tr>
      <w:tr w:rsidR="002E02CE" w14:paraId="4AB23A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58571D" w14:textId="77777777" w:rsidR="002E02CE" w:rsidRDefault="00000000">
            <w:r>
              <w:rPr>
                <w:b/>
                <w:bCs/>
                <w:color w:val="000000"/>
                <w:sz w:val="20"/>
                <w:szCs w:val="20"/>
              </w:rPr>
              <w:t>Prix catalogue moyen (BasePrice)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2A0DE" w14:textId="77777777" w:rsidR="002E02CE" w:rsidRDefault="00000000">
            <w:r>
              <w:rPr>
                <w:color w:val="000000"/>
                <w:sz w:val="20"/>
                <w:szCs w:val="20"/>
              </w:rPr>
              <w:t>78,70 € à 80,36 € — écart de moins de 2 % entre pays.</w:t>
            </w:r>
          </w:p>
        </w:tc>
      </w:tr>
    </w:tbl>
    <w:p w14:paraId="3275FA32" w14:textId="77777777" w:rsidR="002E02CE" w:rsidRDefault="00000000">
      <w:pPr>
        <w:spacing w:before="60" w:after="240"/>
      </w:pPr>
      <w:r>
        <w:rPr>
          <w:i/>
          <w:iCs/>
          <w:color w:val="666666"/>
          <w:sz w:val="18"/>
          <w:szCs w:val="18"/>
        </w:rPr>
        <w:t>Tableau 7 — Test de l'hypothèse « mix produit » — résultat : hypothèse rejetée.</w:t>
      </w:r>
    </w:p>
    <w:p w14:paraId="730C2607"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Hypothèse rejetée. </w:t>
      </w:r>
      <w:r>
        <w:rPr>
          <w:color w:val="333333"/>
        </w:rPr>
        <w:t>Le catalogue proposé est quasi identique partout. Le Royaume-Uni a même le pourcentage de Kits le plus élevé des quatre pays testés — l'idée d'un « mix moins valorisé » ne tient pas. En revanche, le prix réellement payé diverge fortement : de 68,12 € au Brésil à 81,05 € aux États-Unis, soit 19 % d'écart — un signal de prix effectif, pas de catalogue.</w:t>
      </w:r>
    </w:p>
    <w:p w14:paraId="341BE0E4" w14:textId="77777777" w:rsidR="002E02CE" w:rsidRDefault="00000000">
      <w:pPr>
        <w:pStyle w:val="Titre2"/>
      </w:pPr>
      <w:bookmarkStart w:id="21" w:name="_Toc232967270"/>
      <w:r>
        <w:t>5.2 Hypothèse testée n°2 — La pression promotionnelle</w:t>
      </w:r>
      <w:bookmarkEnd w:id="21"/>
    </w:p>
    <w:p w14:paraId="2C8F5888" w14:textId="77777777" w:rsidR="002E02CE" w:rsidRDefault="00000000">
      <w:pPr>
        <w:spacing w:after="160" w:line="276" w:lineRule="auto"/>
      </w:pPr>
      <w:r>
        <w:t>Hypothèse : le Royaume-Uni sous-performe-t-il à cause d'une pression promotionnelle plus forte (remises plus fréquentes ou plus importantes) ?</w:t>
      </w:r>
    </w:p>
    <w:p w14:paraId="12441ABF" w14:textId="77777777" w:rsidR="002E02CE" w:rsidRDefault="00000000">
      <w:pPr>
        <w:pStyle w:val="Paragraphedeliste"/>
        <w:numPr>
          <w:ilvl w:val="0"/>
          <w:numId w:val="2"/>
        </w:numPr>
        <w:spacing w:after="100" w:line="276" w:lineRule="auto"/>
      </w:pPr>
      <w:r>
        <w:t>Taux de remise (DiscountAmount / GrossRevenue) : 2,3 % à 2,6 % dans les quatre pays — le Royaume-Uni est dans la moyenne (2,42 % à 2,44 % sur la période).</w:t>
      </w:r>
    </w:p>
    <w:p w14:paraId="59C2D3D9" w14:textId="77777777" w:rsidR="002E02CE" w:rsidRDefault="00000000">
      <w:pPr>
        <w:pStyle w:val="Paragraphedeliste"/>
        <w:numPr>
          <w:ilvl w:val="0"/>
          <w:numId w:val="2"/>
        </w:numPr>
        <w:spacing w:after="100" w:line="276" w:lineRule="auto"/>
      </w:pPr>
      <w:r>
        <w:t>Part de lignes avec promotion active : 45 % à 49 % partout, sans écart significatif.</w:t>
      </w:r>
    </w:p>
    <w:p w14:paraId="22460A18" w14:textId="77777777" w:rsidR="002E02CE" w:rsidRDefault="00000000">
      <w:pPr>
        <w:pStyle w:val="Paragraphedeliste"/>
        <w:numPr>
          <w:ilvl w:val="0"/>
          <w:numId w:val="2"/>
        </w:numPr>
        <w:spacing w:after="100" w:line="276" w:lineRule="auto"/>
      </w:pPr>
      <w:r>
        <w:t>Mix des types de promotion (Clearance, Holiday, Launch Week, Loyalty, Tournament Bundle) : quasi identique entre pays.</w:t>
      </w:r>
    </w:p>
    <w:p w14:paraId="73FE0186"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Hypothèse rejetée. </w:t>
      </w:r>
      <w:r>
        <w:rPr>
          <w:color w:val="333333"/>
        </w:rPr>
        <w:t>Le détail annuel du Royaume-Uni montre un taux de remise qui fluctue sans tendance (2,42 → 2,44 → 2,51 → 2,48 → 2,44), non corrélé au recul de l'AOV (-1,0 % sur la période). Ce n'est pas la promotion qui tire l'AOV vers le bas.</w:t>
      </w:r>
    </w:p>
    <w:p w14:paraId="728D6478" w14:textId="77777777" w:rsidR="002E02CE" w:rsidRDefault="00000000">
      <w:pPr>
        <w:pStyle w:val="Titre2"/>
      </w:pPr>
      <w:bookmarkStart w:id="22" w:name="_Toc232967271"/>
      <w:r>
        <w:t>5.3 Pistes non tranchées, documentées pour une investigation future</w:t>
      </w:r>
      <w:bookmarkEnd w:id="22"/>
    </w:p>
    <w:p w14:paraId="355433EC" w14:textId="77777777" w:rsidR="002E02CE" w:rsidRDefault="00000000">
      <w:pPr>
        <w:spacing w:after="160" w:line="276" w:lineRule="auto"/>
      </w:pPr>
      <w:r>
        <w:lastRenderedPageBreak/>
        <w:t>Deux hypothèses testées ont été rejetées avec rigueur méthodologique — c'est en soi une information utile, car cela évite de bâtir une recommandation sur une fausse piste. Il reste deux pistes plausibles, non testées dans le cadre de ce projet, à explorer en priorité avant toute action commerciale :</w:t>
      </w:r>
    </w:p>
    <w:p w14:paraId="7A58C6F6" w14:textId="77777777" w:rsidR="002E02CE" w:rsidRDefault="00000000">
      <w:pPr>
        <w:pStyle w:val="Paragraphedeliste"/>
        <w:numPr>
          <w:ilvl w:val="0"/>
          <w:numId w:val="3"/>
        </w:numPr>
        <w:spacing w:after="100" w:line="276" w:lineRule="auto"/>
      </w:pPr>
      <w:r>
        <w:t>Un mix plus fin (StarPlayer, BrandLine) — peut-être qu'à catégorie identique, certains marchés achètent des lignes ou joueurs plus chers.</w:t>
      </w:r>
    </w:p>
    <w:p w14:paraId="3AD5D097" w14:textId="77777777" w:rsidR="002E02CE" w:rsidRDefault="00000000">
      <w:pPr>
        <w:pStyle w:val="Paragraphedeliste"/>
        <w:numPr>
          <w:ilvl w:val="0"/>
          <w:numId w:val="3"/>
        </w:numPr>
        <w:spacing w:after="100" w:line="276" w:lineRule="auto"/>
      </w:pPr>
      <w:r>
        <w:t>Un effet de contexte de marché structurel (PriceIndex, ConversionIndex de DimRegion) — un facteur macro-économique subi plutôt qu'actionnable, mais qui aiderait à comprendre le contexte.</w:t>
      </w:r>
    </w:p>
    <w:p w14:paraId="37B00932" w14:textId="77777777" w:rsidR="002E02CE" w:rsidRDefault="00000000">
      <w:pPr>
        <w:pStyle w:val="Titre2"/>
      </w:pPr>
      <w:bookmarkStart w:id="23" w:name="_Toc232967272"/>
      <w:r>
        <w:t>5.4 Retour à la saisonnalité — quel levier explique les pics ?</w:t>
      </w:r>
      <w:bookmarkEnd w:id="23"/>
    </w:p>
    <w:p w14:paraId="775DA2EB" w14:textId="77777777" w:rsidR="002E02CE" w:rsidRDefault="00000000">
      <w:pPr>
        <w:spacing w:after="160" w:line="276" w:lineRule="auto"/>
      </w:pPr>
      <w:r>
        <w:t>Une fois le cadre Sessions / Conversion / AOV établi, il a été réappliqué aux pics saisonniers identifiés en section 3, pour expliquer leur mécanisme plutôt que de simplement constater leur existence.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700"/>
        <w:gridCol w:w="1700"/>
        <w:gridCol w:w="1700"/>
        <w:gridCol w:w="1500"/>
      </w:tblGrid>
      <w:tr w:rsidR="002E02CE" w14:paraId="43155110" w14:textId="77777777">
        <w:tblPrEx>
          <w:tblCellMar>
            <w:top w:w="0" w:type="dxa"/>
            <w:bottom w:w="0" w:type="dxa"/>
          </w:tblCellMar>
        </w:tblPrEx>
        <w:trPr>
          <w:tblHeader/>
        </w:trPr>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4016D1" w14:textId="77777777" w:rsidR="002E02CE" w:rsidRDefault="00000000">
            <w:pPr>
              <w:jc w:val="center"/>
            </w:pPr>
            <w:r>
              <w:rPr>
                <w:b/>
                <w:bCs/>
                <w:color w:val="FFFFFF"/>
                <w:sz w:val="20"/>
                <w:szCs w:val="20"/>
              </w:rPr>
              <w:t>Période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B83D18" w14:textId="77777777" w:rsidR="002E02CE" w:rsidRDefault="00000000">
            <w:pPr>
              <w:jc w:val="center"/>
            </w:pPr>
            <w:r>
              <w:rPr>
                <w:b/>
                <w:bCs/>
                <w:color w:val="FFFFFF"/>
                <w:sz w:val="20"/>
                <w:szCs w:val="20"/>
              </w:rPr>
              <w:t>Revenu / jour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0CB482" w14:textId="77777777" w:rsidR="002E02CE" w:rsidRDefault="00000000">
            <w:pPr>
              <w:jc w:val="center"/>
            </w:pPr>
            <w:r>
              <w:rPr>
                <w:b/>
                <w:bCs/>
                <w:color w:val="FFFFFF"/>
                <w:sz w:val="20"/>
                <w:szCs w:val="20"/>
              </w:rPr>
              <w:t>Sessions / jour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75C38E" w14:textId="77777777" w:rsidR="002E02CE" w:rsidRDefault="00000000">
            <w:pPr>
              <w:jc w:val="center"/>
            </w:pPr>
            <w:r>
              <w:rPr>
                <w:b/>
                <w:bCs/>
                <w:color w:val="FFFFFF"/>
                <w:sz w:val="20"/>
                <w:szCs w:val="20"/>
              </w:rPr>
              <w:t>Taux conv.</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DC00BD" w14:textId="77777777" w:rsidR="002E02CE" w:rsidRDefault="00000000">
            <w:pPr>
              <w:jc w:val="center"/>
            </w:pPr>
            <w:r>
              <w:rPr>
                <w:b/>
                <w:bCs/>
                <w:color w:val="FFFFFF"/>
                <w:sz w:val="20"/>
                <w:szCs w:val="20"/>
              </w:rPr>
              <w:t>AOV</w:t>
            </w:r>
          </w:p>
        </w:tc>
      </w:tr>
      <w:tr w:rsidR="002E02CE" w14:paraId="7380EF06"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D3BD23" w14:textId="77777777" w:rsidR="002E02CE" w:rsidRDefault="00000000">
            <w:r>
              <w:rPr>
                <w:b/>
                <w:bCs/>
                <w:color w:val="000000"/>
                <w:sz w:val="20"/>
                <w:szCs w:val="20"/>
              </w:rPr>
              <w:t>Continental Championship 2024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0BB7E4" w14:textId="77777777" w:rsidR="002E02CE" w:rsidRDefault="00000000">
            <w:r>
              <w:rPr>
                <w:color w:val="000000"/>
                <w:sz w:val="20"/>
                <w:szCs w:val="20"/>
              </w:rPr>
              <w:t>7 970 €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9A66F2" w14:textId="77777777" w:rsidR="002E02CE" w:rsidRDefault="00000000">
            <w:r>
              <w:rPr>
                <w:color w:val="000000"/>
                <w:sz w:val="20"/>
                <w:szCs w:val="20"/>
              </w:rPr>
              <w:t>6 233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6BFF78" w14:textId="77777777" w:rsidR="002E02CE" w:rsidRDefault="00000000">
            <w:r>
              <w:rPr>
                <w:color w:val="000000"/>
                <w:sz w:val="20"/>
                <w:szCs w:val="20"/>
              </w:rPr>
              <w:t>3,32 %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D348937" w14:textId="77777777" w:rsidR="002E02CE" w:rsidRDefault="00000000">
            <w:r>
              <w:rPr>
                <w:color w:val="000000"/>
                <w:sz w:val="20"/>
                <w:szCs w:val="20"/>
              </w:rPr>
              <w:t>108,70 €</w:t>
            </w:r>
          </w:p>
        </w:tc>
      </w:tr>
      <w:tr w:rsidR="002E02CE" w14:paraId="134075A9"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5EB689" w14:textId="77777777" w:rsidR="002E02CE" w:rsidRDefault="00000000">
            <w:r>
              <w:rPr>
                <w:b/>
                <w:bCs/>
                <w:color w:val="000000"/>
                <w:sz w:val="20"/>
                <w:szCs w:val="20"/>
              </w:rPr>
              <w:t>Kit Launch Season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D7B44" w14:textId="77777777" w:rsidR="002E02CE" w:rsidRDefault="00000000">
            <w:r>
              <w:rPr>
                <w:color w:val="000000"/>
                <w:sz w:val="20"/>
                <w:szCs w:val="20"/>
              </w:rPr>
              <w:t>7 427 €</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E9CD8" w14:textId="77777777" w:rsidR="002E02CE" w:rsidRDefault="00000000">
            <w:r>
              <w:rPr>
                <w:color w:val="000000"/>
                <w:sz w:val="20"/>
                <w:szCs w:val="20"/>
              </w:rPr>
              <w:t>5 316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93ECB3" w14:textId="77777777" w:rsidR="002E02CE" w:rsidRDefault="00000000">
            <w:r>
              <w:rPr>
                <w:color w:val="000000"/>
                <w:sz w:val="20"/>
                <w:szCs w:val="20"/>
              </w:rPr>
              <w:t>3,29 %</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C6DE4" w14:textId="77777777" w:rsidR="002E02CE" w:rsidRDefault="00000000">
            <w:r>
              <w:rPr>
                <w:color w:val="000000"/>
                <w:sz w:val="20"/>
                <w:szCs w:val="20"/>
              </w:rPr>
              <w:t>119,57 €</w:t>
            </w:r>
          </w:p>
        </w:tc>
      </w:tr>
      <w:tr w:rsidR="002E02CE" w14:paraId="7DCB8B76"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AEE7FDB" w14:textId="77777777" w:rsidR="002E02CE" w:rsidRDefault="00000000">
            <w:r>
              <w:rPr>
                <w:b/>
                <w:bCs/>
                <w:color w:val="000000"/>
                <w:sz w:val="20"/>
                <w:szCs w:val="20"/>
              </w:rPr>
              <w:t>Global Cup 2022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ABB586" w14:textId="77777777" w:rsidR="002E02CE" w:rsidRDefault="00000000">
            <w:r>
              <w:rPr>
                <w:color w:val="000000"/>
                <w:sz w:val="20"/>
                <w:szCs w:val="20"/>
              </w:rPr>
              <w:t>6 781 €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5F9BAA" w14:textId="77777777" w:rsidR="002E02CE" w:rsidRDefault="00000000">
            <w:r>
              <w:rPr>
                <w:color w:val="000000"/>
                <w:sz w:val="20"/>
                <w:szCs w:val="20"/>
              </w:rPr>
              <w:t>5 405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E39543" w14:textId="77777777" w:rsidR="002E02CE" w:rsidRDefault="00000000">
            <w:r>
              <w:rPr>
                <w:color w:val="000000"/>
                <w:sz w:val="20"/>
                <w:szCs w:val="20"/>
              </w:rPr>
              <w:t>3,33 %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E1F046" w14:textId="77777777" w:rsidR="002E02CE" w:rsidRDefault="00000000">
            <w:r>
              <w:rPr>
                <w:color w:val="000000"/>
                <w:sz w:val="20"/>
                <w:szCs w:val="20"/>
              </w:rPr>
              <w:t>106,32 €</w:t>
            </w:r>
          </w:p>
        </w:tc>
      </w:tr>
      <w:tr w:rsidR="002E02CE" w14:paraId="0F400560"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22C80" w14:textId="77777777" w:rsidR="002E02CE" w:rsidRDefault="00000000">
            <w:r>
              <w:rPr>
                <w:b/>
                <w:bCs/>
                <w:color w:val="000000"/>
                <w:sz w:val="20"/>
                <w:szCs w:val="20"/>
              </w:rPr>
              <w:t>Holiday Peak</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1DD14" w14:textId="77777777" w:rsidR="002E02CE" w:rsidRDefault="00000000">
            <w:r>
              <w:rPr>
                <w:color w:val="000000"/>
                <w:sz w:val="20"/>
                <w:szCs w:val="20"/>
              </w:rPr>
              <w:t>6 715 €</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B130B" w14:textId="77777777" w:rsidR="002E02CE" w:rsidRDefault="00000000">
            <w:r>
              <w:rPr>
                <w:color w:val="000000"/>
                <w:sz w:val="20"/>
                <w:szCs w:val="20"/>
              </w:rPr>
              <w:t>5 540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6717B" w14:textId="77777777" w:rsidR="002E02CE" w:rsidRDefault="00000000">
            <w:r>
              <w:rPr>
                <w:color w:val="000000"/>
                <w:sz w:val="20"/>
                <w:szCs w:val="20"/>
              </w:rPr>
              <w:t>3,42 %</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C1F0D" w14:textId="77777777" w:rsidR="002E02CE" w:rsidRDefault="00000000">
            <w:r>
              <w:rPr>
                <w:color w:val="000000"/>
                <w:sz w:val="20"/>
                <w:szCs w:val="20"/>
              </w:rPr>
              <w:t>99,86 €</w:t>
            </w:r>
          </w:p>
        </w:tc>
      </w:tr>
      <w:tr w:rsidR="002E02CE" w14:paraId="28838F4E"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1AEA93" w14:textId="77777777" w:rsidR="002E02CE" w:rsidRDefault="00000000">
            <w:r>
              <w:rPr>
                <w:b/>
                <w:bCs/>
                <w:color w:val="000000"/>
                <w:sz w:val="20"/>
                <w:szCs w:val="20"/>
              </w:rPr>
              <w:t>Regular Season (référence)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A5D3CE" w14:textId="77777777" w:rsidR="002E02CE" w:rsidRDefault="00000000">
            <w:r>
              <w:rPr>
                <w:color w:val="000000"/>
                <w:sz w:val="20"/>
                <w:szCs w:val="20"/>
              </w:rPr>
              <w:t>5 492 €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BB6DD7" w14:textId="77777777" w:rsidR="002E02CE" w:rsidRDefault="00000000">
            <w:r>
              <w:rPr>
                <w:color w:val="000000"/>
                <w:sz w:val="20"/>
                <w:szCs w:val="20"/>
              </w:rPr>
              <w:t>4 401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718915" w14:textId="77777777" w:rsidR="002E02CE" w:rsidRDefault="00000000">
            <w:r>
              <w:rPr>
                <w:color w:val="000000"/>
                <w:sz w:val="20"/>
                <w:szCs w:val="20"/>
              </w:rPr>
              <w:t>3,16 %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4A4920B" w14:textId="77777777" w:rsidR="002E02CE" w:rsidRDefault="00000000">
            <w:r>
              <w:rPr>
                <w:color w:val="000000"/>
                <w:sz w:val="20"/>
                <w:szCs w:val="20"/>
              </w:rPr>
              <w:t>111,28 €</w:t>
            </w:r>
          </w:p>
        </w:tc>
      </w:tr>
    </w:tbl>
    <w:p w14:paraId="5A1D7EF9" w14:textId="77777777" w:rsidR="002E02CE" w:rsidRDefault="00000000">
      <w:pPr>
        <w:spacing w:before="60" w:after="240"/>
      </w:pPr>
      <w:r>
        <w:rPr>
          <w:i/>
          <w:iCs/>
          <w:color w:val="666666"/>
          <w:sz w:val="18"/>
          <w:szCs w:val="18"/>
        </w:rPr>
        <w:t>Tableau 8 — Décomposition des pics saisonniers par les trois mêmes leviers (Sessions / Conversion / AOV).</w:t>
      </w:r>
    </w:p>
    <w:p w14:paraId="389CF5EB"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Conclusion : </w:t>
      </w:r>
      <w:r>
        <w:rPr>
          <w:color w:val="333333"/>
        </w:rPr>
        <w:t>chaque pic saisonnier, comme la croissance structurelle sur 5 ans, est porté avant tout par un sursaut de trafic (+20 % à +42 % de sessions/jour), pas par une amélioration de conversion (écart maximal de 0,26 point sur l'année). Seul Kit Launch Season combine trafic ET valeur (AOV +7,4 % vs Regular Season) — les tournois sportifs, eux, sont portés presque uniquement par le volume de visiteurs.</w:t>
      </w:r>
    </w:p>
    <w:p w14:paraId="7892FB94" w14:textId="77777777" w:rsidR="002E02CE" w:rsidRDefault="00000000">
      <w:r>
        <w:br w:type="page"/>
      </w:r>
    </w:p>
    <w:p w14:paraId="39CA5A59" w14:textId="77777777" w:rsidR="002E02CE" w:rsidRDefault="00000000">
      <w:pPr>
        <w:pStyle w:val="Titre1"/>
      </w:pPr>
      <w:bookmarkStart w:id="24" w:name="_Toc232967273"/>
      <w:r>
        <w:lastRenderedPageBreak/>
        <w:t>6. La thèse retenue et les recommandations stratégiques</w:t>
      </w:r>
      <w:bookmarkEnd w:id="24"/>
    </w:p>
    <w:p w14:paraId="22F8CC4B" w14:textId="77777777" w:rsidR="002E02CE" w:rsidRDefault="00000000">
      <w:pPr>
        <w:pStyle w:val="Titre2"/>
      </w:pPr>
      <w:bookmarkStart w:id="25" w:name="_Toc232967274"/>
      <w:r>
        <w:t>6.1 La thèse, en une phrase</w:t>
      </w:r>
      <w:bookmarkEnd w:id="25"/>
    </w:p>
    <w:p w14:paraId="3DC2296B" w14:textId="77777777" w:rsidR="002E02CE" w:rsidRDefault="00000000">
      <w:pPr>
        <w:pBdr>
          <w:left w:val="single" w:sz="18" w:space="8" w:color="1F3864"/>
        </w:pBdr>
        <w:shd w:val="clear" w:color="auto" w:fill="F2F2F2"/>
        <w:spacing w:before="120" w:after="200" w:line="276" w:lineRule="auto"/>
        <w:ind w:left="360"/>
      </w:pPr>
      <w:r>
        <w:rPr>
          <w:i/>
          <w:iCs/>
          <w:color w:val="333333"/>
        </w:rPr>
        <w:t>PitchSide Pro croît grâce à un moteur d'acquisition de trafic puissant et homogène (+38 % sur cinq ans, sur huit pays et deux canaux sans exception), mais son entonnoir de conversion est resté figé à environ 3 % pendant toute la période — c'est la plus grande réserve de croissance inexploitée de l'entreprise, plus importante que tout effet calendaire sportif.</w:t>
      </w:r>
    </w:p>
    <w:p w14:paraId="5CBBD558" w14:textId="77777777" w:rsidR="002E02CE" w:rsidRDefault="00000000">
      <w:pPr>
        <w:pStyle w:val="Titre2"/>
      </w:pPr>
      <w:bookmarkStart w:id="26" w:name="_Toc232967275"/>
      <w:r>
        <w:t>6.2 Pourquoi cette thèse résiste à l'examen</w:t>
      </w:r>
      <w:bookmarkEnd w:id="26"/>
    </w:p>
    <w:p w14:paraId="2CF48B41" w14:textId="77777777" w:rsidR="002E02CE" w:rsidRDefault="00000000">
      <w:pPr>
        <w:pStyle w:val="Paragraphedeliste"/>
        <w:numPr>
          <w:ilvl w:val="0"/>
          <w:numId w:val="3"/>
        </w:numPr>
        <w:spacing w:after="100" w:line="276" w:lineRule="auto"/>
      </w:pPr>
      <w:r>
        <w:t>Elle est triple-vérifiée : le même schéma (trafic moteur, conversion plate) apparaît à l'échelle annuelle globale, par région, par canal, et à l'intérieur même des pics saisonniers — pas un artefact d'un seul angle de coupe.</w:t>
      </w:r>
    </w:p>
    <w:p w14:paraId="3C8F00E0" w14:textId="77777777" w:rsidR="002E02CE" w:rsidRDefault="00000000">
      <w:pPr>
        <w:pStyle w:val="Paragraphedeliste"/>
        <w:numPr>
          <w:ilvl w:val="0"/>
          <w:numId w:val="3"/>
        </w:numPr>
        <w:spacing w:after="100" w:line="276" w:lineRule="auto"/>
      </w:pPr>
      <w:r>
        <w:t>Elle replace l'intuition de départ sans la nier : les tournois et Kit Launch Season sont réels, mais ce sont des multiplicateurs du même mécanisme (plus de trafic), pas un moteur différent.</w:t>
      </w:r>
    </w:p>
    <w:p w14:paraId="5521570F" w14:textId="77777777" w:rsidR="002E02CE" w:rsidRDefault="00000000">
      <w:pPr>
        <w:pStyle w:val="Paragraphedeliste"/>
        <w:numPr>
          <w:ilvl w:val="0"/>
          <w:numId w:val="3"/>
        </w:numPr>
        <w:spacing w:after="100" w:line="276" w:lineRule="auto"/>
      </w:pPr>
      <w:r>
        <w:t>Elle est inconfortable, donc utile : dire « on croît bien » est confortable mais inactionnable ; dire « +38 % de trafic pour 0 point de gain de conversion » pointe un actif sous-exploité concret.</w:t>
      </w:r>
    </w:p>
    <w:p w14:paraId="7B15B170" w14:textId="77777777" w:rsidR="002E02CE" w:rsidRDefault="00000000">
      <w:pPr>
        <w:pStyle w:val="Titre2"/>
      </w:pPr>
      <w:bookmarkStart w:id="27" w:name="_Toc232967276"/>
      <w:r>
        <w:t>6.3 Recommandation n°1 — Prioriser l'optimisation de la conversion</w:t>
      </w:r>
      <w:bookmarkEnd w:id="27"/>
    </w:p>
    <w:p w14:paraId="0A451179" w14:textId="77777777" w:rsidR="002E02CE" w:rsidRDefault="00000000">
      <w:pPr>
        <w:spacing w:after="160" w:line="276" w:lineRule="auto"/>
      </w:pPr>
      <w:r>
        <w:t>Constat : le taux de conversion (≈ 3,2 %) n'a pas varié d'un dixième de point en cinq ans, malgré +38 % de sessions, sur tous les pays et canaux sans exception.</w:t>
      </w:r>
    </w:p>
    <w:p w14:paraId="16BC0522" w14:textId="77777777" w:rsidR="002E02CE" w:rsidRDefault="00000000">
      <w:pPr>
        <w:spacing w:after="160" w:line="276" w:lineRule="auto"/>
      </w:pPr>
      <w:r>
        <w:t>Recommandation : tester (A/B testing) des leviers de conversion — UX du tunnel d'achat, recommandations produit, relance des paniers abandonnés (sessions avec AddToCart mais sans Conversion) — avant d'augmenter encore le budget d'acquisition. Un gain de seulement +0,3 à +0,5 point de conversion, à trafic constant, représenterait un gain de revenu à deux chiffres en pourcentage, sans dépense d'acquisition supplémentaire.</w:t>
      </w:r>
    </w:p>
    <w:p w14:paraId="461DA957" w14:textId="77777777" w:rsidR="002E02CE" w:rsidRDefault="00000000">
      <w:pPr>
        <w:pStyle w:val="Titre2"/>
      </w:pPr>
      <w:bookmarkStart w:id="28" w:name="_Toc232967277"/>
      <w:r>
        <w:t>6.4 Recommandation n°2 — Désigner des marchés prioritaires à investiguer</w:t>
      </w:r>
      <w:bookmarkEnd w:id="28"/>
    </w:p>
    <w:p w14:paraId="7AF64D16" w14:textId="77777777" w:rsidR="002E02CE" w:rsidRDefault="00000000">
      <w:pPr>
        <w:spacing w:after="160" w:line="276" w:lineRule="auto"/>
      </w:pPr>
      <w:r>
        <w:t>Constat : l'Allemagne, les États-Unis et le Brésil sur-performent leur propre croissance de trafic via un panier moyen en hausse (+3 à +4 % sur cinq ans), alors que le mix produit et la pression promotionnelle y sont strictement identiques aux autres marchés. La cause exacte de cette progression d'AOV n'a pas été isolée dans le cadre de ce projet.</w:t>
      </w:r>
    </w:p>
    <w:p w14:paraId="55F84711" w14:textId="77777777" w:rsidR="002E02CE" w:rsidRDefault="00000000">
      <w:pPr>
        <w:spacing w:after="160" w:line="276" w:lineRule="auto"/>
      </w:pPr>
      <w:r>
        <w:t xml:space="preserve">Recommandation : désigner ces trois marchés comme prioritaires pour une investigation, avant toute action commerciale de type montée en gamme. Comprendre d'abord pourquoi leur AOV progresse naturellement (mix fin StarPlayer / BrandLine, ou effet PriceIndex), puis seulement ensuite tester des leviers de premiumisation si l'investigation confirme un terrain favorable. Le </w:t>
      </w:r>
      <w:r>
        <w:lastRenderedPageBreak/>
        <w:t>Royaume-Uni, seul marché en légère érosion d'AOV, mérite une investigation séparée — pas un alignement automatique sur la stratégie des trois marchés en croissance.</w:t>
      </w:r>
    </w:p>
    <w:p w14:paraId="30CB3D9B"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Note méthodologique : </w:t>
      </w:r>
      <w:r>
        <w:rPr>
          <w:color w:val="333333"/>
        </w:rPr>
        <w:t>cette recommandation a été volontairement reformulée en cours de projet — d'une conclusion affirmative (« capacité de montée en gamme ») vers une formulation plus prudente (« marché à tester »), car la cause de la progression d'AOV n'a pas été démontrée, seulement la corrélation. C'est un exemple concret de discipline analytique : ne jamais conclure plus que ce que les données démontrent.</w:t>
      </w:r>
    </w:p>
    <w:p w14:paraId="00072267" w14:textId="77777777" w:rsidR="002E02CE" w:rsidRDefault="00000000">
      <w:pPr>
        <w:pStyle w:val="Titre2"/>
      </w:pPr>
      <w:bookmarkStart w:id="29" w:name="_Toc232967278"/>
      <w:r>
        <w:t>6.5 Recommandation n°3 — Recalibrer le calendrier marketing autour de Kit Launch Season</w:t>
      </w:r>
      <w:bookmarkEnd w:id="29"/>
    </w:p>
    <w:p w14:paraId="2CBF7AA6" w14:textId="77777777" w:rsidR="002E02CE" w:rsidRDefault="00000000">
      <w:pPr>
        <w:spacing w:after="160" w:line="276" w:lineRule="auto"/>
      </w:pPr>
      <w:r>
        <w:t>Constat : Kit Launch Season (août-septembre) est la seule période de l'année où trafic ET panier moyen progressent ensemble. Les tournois sportifs, eux, sont portés presque uniquement par le volume — et n'arrivent qu'épisodiquement, contrairement à Kit Launch Season qui est récurrent chaque année.</w:t>
      </w:r>
    </w:p>
    <w:p w14:paraId="48D0F2BF" w14:textId="77777777" w:rsidR="002E02CE" w:rsidRDefault="00000000">
      <w:pPr>
        <w:spacing w:after="160" w:line="276" w:lineRule="auto"/>
      </w:pPr>
      <w:r>
        <w:t>Recommandation : calibrer le calendrier marketing et la gestion des stocks autour de Kit Launch Season comme pic prioritaire et fiable ; traiter les tournois sportifs comme des amplificateurs opportunistes de trafic plutôt que comme le driver principal de la stratégie commerciale annuelle.</w:t>
      </w:r>
    </w:p>
    <w:p w14:paraId="12FD5298" w14:textId="77777777" w:rsidR="002E02CE" w:rsidRDefault="00000000">
      <w:r>
        <w:br w:type="page"/>
      </w:r>
    </w:p>
    <w:p w14:paraId="1B565674" w14:textId="77777777" w:rsidR="002E02CE" w:rsidRDefault="00000000">
      <w:pPr>
        <w:pStyle w:val="Titre1"/>
      </w:pPr>
      <w:bookmarkStart w:id="30" w:name="_Toc232967279"/>
      <w:r>
        <w:lastRenderedPageBreak/>
        <w:t>7. Modélisation des données — Schéma en étoile</w:t>
      </w:r>
      <w:bookmarkEnd w:id="30"/>
    </w:p>
    <w:p w14:paraId="5A3F73AF" w14:textId="77777777" w:rsidR="002E02CE" w:rsidRDefault="00000000">
      <w:pPr>
        <w:pStyle w:val="Titre2"/>
      </w:pPr>
      <w:bookmarkStart w:id="31" w:name="_Toc232967280"/>
      <w:r>
        <w:t>7.1 Principe directeur</w:t>
      </w:r>
      <w:bookmarkEnd w:id="31"/>
    </w:p>
    <w:p w14:paraId="4F45EEB8" w14:textId="77777777" w:rsidR="002E02CE" w:rsidRDefault="00000000">
      <w:pPr>
        <w:spacing w:after="160" w:line="276" w:lineRule="auto"/>
      </w:pPr>
      <w:r>
        <w:t>La thèse retenue repose sur la comparaison constante de deux tables de faits à des grains différents : FactSales (grain = ligne de commande) et FactTraffic (grain = jour × région × canal, déjà agrégé). Pour calculer un taux de conversion ou un revenu par session, Power BI doit pouvoir agréger les deux tables sur les mêmes dimensions partagées — sinon DAX ne peut pas les comparer correctement.</w:t>
      </w:r>
    </w:p>
    <w:p w14:paraId="48E3E322"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Piège évité : </w:t>
      </w:r>
      <w:r>
        <w:rPr>
          <w:color w:val="333333"/>
        </w:rPr>
        <w:t>relier directement FactSales à FactTraffic, ou dupliquer les dimensions, rendrait le modèle soit impossible à filtrer de façon cohérente, soit pollué par des relations many-to-many incontrôlées.</w:t>
      </w:r>
    </w:p>
    <w:p w14:paraId="698D6478" w14:textId="77777777" w:rsidR="002E02CE" w:rsidRDefault="00000000">
      <w:pPr>
        <w:pStyle w:val="Titre2"/>
      </w:pPr>
      <w:bookmarkStart w:id="32" w:name="_Toc232967281"/>
      <w:r>
        <w:t>7.2 Schéma retenu</w:t>
      </w:r>
      <w:bookmarkEnd w:id="32"/>
    </w:p>
    <w:p w14:paraId="7054369E" w14:textId="77777777" w:rsidR="002E02CE" w:rsidRDefault="00000000">
      <w:pPr>
        <w:spacing w:after="160" w:line="276" w:lineRule="auto"/>
      </w:pPr>
      <w:r>
        <w:t>DimDate, DimRegion et DimChannel sont partagées par les deux tables de faits (relations un-vers-plusieurs, filtre à sens unique vers les faits). DimProduct et DimCustomer ne se relient qu'à FactSales — logique, puisque FactTraffic est déjà agrégé et ne conserve pas de détail produit ou client. FactSales et FactTraffic ne sont jamais reliées directement entre elles : elles communiquent uniquement via les dimensions communes.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2E02CE" w14:paraId="6A36B00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C0423C" w14:textId="77777777" w:rsidR="002E02CE" w:rsidRDefault="00000000">
            <w:pPr>
              <w:jc w:val="center"/>
            </w:pPr>
            <w:r>
              <w:rPr>
                <w:b/>
                <w:bCs/>
                <w:color w:val="FFFFFF"/>
                <w:sz w:val="20"/>
                <w:szCs w:val="20"/>
              </w:rPr>
              <w:t>Relation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B9D4F0" w14:textId="77777777" w:rsidR="002E02CE" w:rsidRDefault="00000000">
            <w:pPr>
              <w:jc w:val="center"/>
            </w:pPr>
            <w:r>
              <w:rPr>
                <w:b/>
                <w:bCs/>
                <w:color w:val="FFFFFF"/>
                <w:sz w:val="20"/>
                <w:szCs w:val="20"/>
              </w:rPr>
              <w:t>Cardinalité</w:t>
            </w:r>
          </w:p>
        </w:tc>
        <w:tc>
          <w:tcPr>
            <w:tcW w:w="38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72AA632" w14:textId="77777777" w:rsidR="002E02CE" w:rsidRDefault="00000000">
            <w:pPr>
              <w:jc w:val="center"/>
            </w:pPr>
            <w:r>
              <w:rPr>
                <w:b/>
                <w:bCs/>
                <w:color w:val="FFFFFF"/>
                <w:sz w:val="20"/>
                <w:szCs w:val="20"/>
              </w:rPr>
              <w:t>Sens du filtre</w:t>
            </w:r>
          </w:p>
        </w:tc>
      </w:tr>
      <w:tr w:rsidR="002E02CE" w14:paraId="248CF7F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0C74B4" w14:textId="77777777" w:rsidR="002E02CE" w:rsidRDefault="00000000">
            <w:r>
              <w:rPr>
                <w:b/>
                <w:bCs/>
                <w:color w:val="000000"/>
                <w:sz w:val="20"/>
                <w:szCs w:val="20"/>
              </w:rPr>
              <w:t>DimDate → FactSales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E60E02"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B43CCB" w14:textId="77777777" w:rsidR="002E02CE" w:rsidRDefault="00000000">
            <w:r>
              <w:rPr>
                <w:color w:val="000000"/>
                <w:sz w:val="20"/>
                <w:szCs w:val="20"/>
              </w:rPr>
              <w:t>Unique (vers FactSales)</w:t>
            </w:r>
          </w:p>
        </w:tc>
      </w:tr>
      <w:tr w:rsidR="002E02CE" w14:paraId="6C734BF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16565" w14:textId="77777777" w:rsidR="002E02CE" w:rsidRDefault="00000000">
            <w:r>
              <w:rPr>
                <w:b/>
                <w:bCs/>
                <w:color w:val="000000"/>
                <w:sz w:val="20"/>
                <w:szCs w:val="20"/>
              </w:rPr>
              <w:t>DimDate → FactTraffic</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BA30A"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5A9E2F" w14:textId="77777777" w:rsidR="002E02CE" w:rsidRDefault="00000000">
            <w:r>
              <w:rPr>
                <w:color w:val="000000"/>
                <w:sz w:val="20"/>
                <w:szCs w:val="20"/>
              </w:rPr>
              <w:t>Unique (vers FactTraffic)</w:t>
            </w:r>
          </w:p>
        </w:tc>
      </w:tr>
      <w:tr w:rsidR="002E02CE" w14:paraId="2CA464E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3602DF" w14:textId="77777777" w:rsidR="002E02CE" w:rsidRDefault="00000000">
            <w:r>
              <w:rPr>
                <w:b/>
                <w:bCs/>
                <w:color w:val="000000"/>
                <w:sz w:val="20"/>
                <w:szCs w:val="20"/>
              </w:rPr>
              <w:t>DimRegion → FactSales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18EB13"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FEE502" w14:textId="77777777" w:rsidR="002E02CE" w:rsidRDefault="00000000">
            <w:r>
              <w:rPr>
                <w:color w:val="000000"/>
                <w:sz w:val="20"/>
                <w:szCs w:val="20"/>
              </w:rPr>
              <w:t>Unique</w:t>
            </w:r>
          </w:p>
        </w:tc>
      </w:tr>
      <w:tr w:rsidR="002E02CE" w14:paraId="237D32F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BFD067" w14:textId="77777777" w:rsidR="002E02CE" w:rsidRDefault="00000000">
            <w:r>
              <w:rPr>
                <w:b/>
                <w:bCs/>
                <w:color w:val="000000"/>
                <w:sz w:val="20"/>
                <w:szCs w:val="20"/>
              </w:rPr>
              <w:t>DimRegion → FactTraffic</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ADB22"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5676A" w14:textId="77777777" w:rsidR="002E02CE" w:rsidRDefault="00000000">
            <w:r>
              <w:rPr>
                <w:color w:val="000000"/>
                <w:sz w:val="20"/>
                <w:szCs w:val="20"/>
              </w:rPr>
              <w:t>Unique</w:t>
            </w:r>
          </w:p>
        </w:tc>
      </w:tr>
      <w:tr w:rsidR="002E02CE" w14:paraId="6758A3A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18DEF6" w14:textId="77777777" w:rsidR="002E02CE" w:rsidRDefault="00000000">
            <w:r>
              <w:rPr>
                <w:b/>
                <w:bCs/>
                <w:color w:val="000000"/>
                <w:sz w:val="20"/>
                <w:szCs w:val="20"/>
              </w:rPr>
              <w:t>DimChannel → FactSales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2E43CD"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EC17C4" w14:textId="77777777" w:rsidR="002E02CE" w:rsidRDefault="00000000">
            <w:r>
              <w:rPr>
                <w:color w:val="000000"/>
                <w:sz w:val="20"/>
                <w:szCs w:val="20"/>
              </w:rPr>
              <w:t>Unique</w:t>
            </w:r>
          </w:p>
        </w:tc>
      </w:tr>
      <w:tr w:rsidR="002E02CE" w14:paraId="14C4956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A20C5" w14:textId="77777777" w:rsidR="002E02CE" w:rsidRDefault="00000000">
            <w:r>
              <w:rPr>
                <w:b/>
                <w:bCs/>
                <w:color w:val="000000"/>
                <w:sz w:val="20"/>
                <w:szCs w:val="20"/>
              </w:rPr>
              <w:t>DimChannel → FactTraffic</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7F1C5"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2E1FE" w14:textId="77777777" w:rsidR="002E02CE" w:rsidRDefault="00000000">
            <w:r>
              <w:rPr>
                <w:color w:val="000000"/>
                <w:sz w:val="20"/>
                <w:szCs w:val="20"/>
              </w:rPr>
              <w:t>Unique</w:t>
            </w:r>
          </w:p>
        </w:tc>
      </w:tr>
      <w:tr w:rsidR="002E02CE" w14:paraId="41F6DD4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A573BA" w14:textId="77777777" w:rsidR="002E02CE" w:rsidRDefault="00000000">
            <w:r>
              <w:rPr>
                <w:b/>
                <w:bCs/>
                <w:color w:val="000000"/>
                <w:sz w:val="20"/>
                <w:szCs w:val="20"/>
              </w:rPr>
              <w:t>DimProduct → FactSales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558D72"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203750" w14:textId="77777777" w:rsidR="002E02CE" w:rsidRDefault="00000000">
            <w:r>
              <w:rPr>
                <w:color w:val="000000"/>
                <w:sz w:val="20"/>
                <w:szCs w:val="20"/>
              </w:rPr>
              <w:t>Unique</w:t>
            </w:r>
          </w:p>
        </w:tc>
      </w:tr>
      <w:tr w:rsidR="002E02CE" w14:paraId="1475CDA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944902" w14:textId="77777777" w:rsidR="002E02CE" w:rsidRDefault="00000000">
            <w:r>
              <w:rPr>
                <w:b/>
                <w:bCs/>
                <w:color w:val="000000"/>
                <w:sz w:val="20"/>
                <w:szCs w:val="20"/>
              </w:rPr>
              <w:t>DimCustomer → FactSales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C1A57E" w14:textId="77777777" w:rsidR="002E02CE" w:rsidRDefault="00000000">
            <w:r>
              <w:rPr>
                <w:color w:val="000000"/>
                <w:sz w:val="20"/>
                <w:szCs w:val="20"/>
              </w:rPr>
              <w:t>1 → *</w:t>
            </w:r>
          </w:p>
        </w:tc>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6D5D3" w14:textId="77777777" w:rsidR="002E02CE" w:rsidRDefault="00000000">
            <w:r>
              <w:rPr>
                <w:color w:val="000000"/>
                <w:sz w:val="20"/>
                <w:szCs w:val="20"/>
              </w:rPr>
              <w:t>Unique</w:t>
            </w:r>
          </w:p>
        </w:tc>
      </w:tr>
    </w:tbl>
    <w:p w14:paraId="065F5CE2" w14:textId="77777777" w:rsidR="002E02CE" w:rsidRDefault="00000000">
      <w:pPr>
        <w:spacing w:before="60" w:after="240"/>
      </w:pPr>
      <w:r>
        <w:rPr>
          <w:i/>
          <w:iCs/>
          <w:color w:val="666666"/>
          <w:sz w:val="18"/>
          <w:szCs w:val="18"/>
        </w:rPr>
        <w:t>Tableau 9 — Cardinalités et sens de filtre des relations du modèle. Aucun filtre croisé bidirectionnel n'est nécessaire : aucun calcul de la thèse ne demande à FactSales de filtrer FactTraffic en retour.</w:t>
      </w:r>
    </w:p>
    <w:p w14:paraId="137AFC15" w14:textId="77777777" w:rsidR="002E02CE" w:rsidRDefault="00000000">
      <w:pPr>
        <w:pStyle w:val="Titre2"/>
      </w:pPr>
      <w:bookmarkStart w:id="33" w:name="_Toc232967282"/>
      <w:r>
        <w:t>7.3 Limite structurelle assumée : DimProduct et DimCustomer ne peuvent pas se relier à FactTraffic</w:t>
      </w:r>
      <w:bookmarkEnd w:id="33"/>
    </w:p>
    <w:p w14:paraId="70256B05" w14:textId="77777777" w:rsidR="002E02CE" w:rsidRDefault="00000000">
      <w:pPr>
        <w:spacing w:after="160" w:line="276" w:lineRule="auto"/>
      </w:pPr>
      <w:r>
        <w:t>FactTraffic a pour grain Date × Région × Canal, sans clé produit ni client — il n'existe donc aucune clé possible pour relier DimProduct ou DimCustomer à cette table. Ce n'est pas une erreur de modélisation mais une limite réelle du dataset : un outil d'analytics web standard compte des sessions anonymes par marché/canal/jour, sans visibilité sur le client identifié ni le produit consulté.</w:t>
      </w:r>
    </w:p>
    <w:p w14:paraId="6687A443" w14:textId="77777777" w:rsidR="002E02CE" w:rsidRDefault="00000000">
      <w:pPr>
        <w:pBdr>
          <w:left w:val="single" w:sz="24" w:space="8" w:color="C0392B"/>
        </w:pBdr>
        <w:shd w:val="clear" w:color="auto" w:fill="FBEAEA"/>
        <w:spacing w:before="120" w:after="200" w:line="276" w:lineRule="auto"/>
        <w:ind w:left="360"/>
      </w:pPr>
      <w:r>
        <w:rPr>
          <w:b/>
          <w:bCs/>
          <w:color w:val="C0392B"/>
        </w:rPr>
        <w:lastRenderedPageBreak/>
        <w:t xml:space="preserve">Implication pratique : </w:t>
      </w:r>
      <w:r>
        <w:rPr>
          <w:color w:val="333333"/>
        </w:rPr>
        <w:t>un visuel filtré par Segment client ou par Category produit ne peut afficher que des mesures issues de FactSales — Sessions et Conversion Rate resteront vides dans ce contexte. À l'inverse, un visuel filtré par Date, Région ou Canal peut combiner les deux familles de mesures — c'est exactement le niveau auquel toute l'analyse Facteurs (section 4) a été menée.</w:t>
      </w:r>
    </w:p>
    <w:p w14:paraId="7CB58B82" w14:textId="77777777" w:rsidR="002E02CE" w:rsidRDefault="00000000">
      <w:pPr>
        <w:pStyle w:val="Titre2"/>
      </w:pPr>
      <w:bookmarkStart w:id="34" w:name="_Toc232967283"/>
      <w:r>
        <w:t>7.4 Point de vigilance — dénormalisation existante</w:t>
      </w:r>
      <w:bookmarkEnd w:id="34"/>
    </w:p>
    <w:p w14:paraId="5BB5ED04" w14:textId="77777777" w:rsidR="002E02CE" w:rsidRDefault="00000000">
      <w:pPr>
        <w:spacing w:after="160" w:line="276" w:lineRule="auto"/>
      </w:pPr>
      <w:r>
        <w:t>DimCustomer contient une colonne MacroRegion qui duplique une information déjà présente dans DimRegion (atteignable via RegionKey). Cette dénormalisation existe dans les données sources et n'a pas été modifiée, conformément au règlement. En modélisation, le risque n'est pas une rupture du schéma en étoile, mais une confusion d'usage : il convient de privilégier un seul chemin (DimRegion[MacroRegion]) par visuel, et de masquer la colonne redondante de DimCustomer dans la vue du modèle pour éviter toute ambiguïté future.</w:t>
      </w:r>
    </w:p>
    <w:p w14:paraId="6D5296C8" w14:textId="77777777" w:rsidR="002E02CE" w:rsidRDefault="00000000">
      <w:pPr>
        <w:pStyle w:val="Titre2"/>
      </w:pPr>
      <w:bookmarkStart w:id="35" w:name="_Toc232967284"/>
      <w:r>
        <w:t>7.5 Table de dates et Time Intelligence</w:t>
      </w:r>
      <w:bookmarkEnd w:id="35"/>
    </w:p>
    <w:p w14:paraId="146F58D1" w14:textId="77777777" w:rsidR="002E02CE" w:rsidRDefault="00000000">
      <w:pPr>
        <w:spacing w:after="160" w:line="276" w:lineRule="auto"/>
      </w:pPr>
      <w:r>
        <w:t>DimDate doit être marquée explicitement comme « Table de dates » dans Power BI (clic droit sur la table → Marquer comme table de dates → sélectionner la colonne Date). Cette propriété est requise par les fonctions de Time Intelligence DAX telles que SAMEPERIODLASTYEAR ou TOTALYTD. Sans cette déclaration, ces fonctions produisent des résultats silencieusement faux — sans message d'erreur visible — ce qui en fait l'un des pièges DAX les plus fréquents en l'absence de vigilance.</w:t>
      </w:r>
    </w:p>
    <w:p w14:paraId="0EAEFB9B" w14:textId="77777777" w:rsidR="002E02CE" w:rsidRDefault="00000000">
      <w:r>
        <w:br w:type="page"/>
      </w:r>
    </w:p>
    <w:p w14:paraId="69F72D31" w14:textId="77777777" w:rsidR="002E02CE" w:rsidRDefault="00000000">
      <w:pPr>
        <w:pStyle w:val="Titre1"/>
      </w:pPr>
      <w:bookmarkStart w:id="36" w:name="_Toc232967285"/>
      <w:r>
        <w:lastRenderedPageBreak/>
        <w:t>8. Mesures DAX</w:t>
      </w:r>
      <w:bookmarkEnd w:id="36"/>
    </w:p>
    <w:p w14:paraId="4A8DA05E" w14:textId="77777777" w:rsidR="002E02CE" w:rsidRDefault="00000000">
      <w:pPr>
        <w:spacing w:after="160" w:line="276" w:lineRule="auto"/>
      </w:pPr>
      <w:r>
        <w:t>Les mesures sont présentées dans l'ordre de dépendance logique : d'abord les briques de base (sommes simples), puis les ratios qui en dépendent, puis le Time Intelligence. Une bonne pratique DAX consiste à faire référence à d'autres mesures dans les ratios plutôt que de recalculer les colonnes brutes, pour garantir la cohérence dans tout le rapport.</w:t>
      </w:r>
    </w:p>
    <w:p w14:paraId="364E21BF" w14:textId="77777777" w:rsidR="002E02CE" w:rsidRDefault="00000000">
      <w:pPr>
        <w:pStyle w:val="Titre2"/>
      </w:pPr>
      <w:bookmarkStart w:id="37" w:name="_Toc232967286"/>
      <w:r>
        <w:t>8.1 Groupe 1 — Mesures de base (FactSales)</w:t>
      </w:r>
      <w:bookmarkEnd w:id="37"/>
    </w:p>
    <w:p w14:paraId="6E716FEE" w14:textId="77777777" w:rsidR="002E02CE" w:rsidRDefault="00000000">
      <w:pPr>
        <w:shd w:val="clear" w:color="auto" w:fill="1E1E1E"/>
      </w:pPr>
      <w:r>
        <w:rPr>
          <w:rFonts w:ascii="Consolas" w:eastAsia="Consolas" w:hAnsi="Consolas" w:cs="Consolas"/>
          <w:color w:val="D4D4D4"/>
          <w:sz w:val="18"/>
          <w:szCs w:val="18"/>
        </w:rPr>
        <w:t>Net Revenue = SUM(FactSales[NetRevenue])</w:t>
      </w:r>
    </w:p>
    <w:p w14:paraId="10DFEB9C" w14:textId="77777777" w:rsidR="002E02CE" w:rsidRDefault="00000000">
      <w:pPr>
        <w:shd w:val="clear" w:color="auto" w:fill="1E1E1E"/>
      </w:pPr>
      <w:r>
        <w:rPr>
          <w:rFonts w:ascii="Consolas" w:eastAsia="Consolas" w:hAnsi="Consolas" w:cs="Consolas"/>
          <w:color w:val="D4D4D4"/>
          <w:sz w:val="18"/>
          <w:szCs w:val="18"/>
        </w:rPr>
        <w:t xml:space="preserve"> </w:t>
      </w:r>
    </w:p>
    <w:p w14:paraId="795E73BE" w14:textId="77777777" w:rsidR="002E02CE" w:rsidRDefault="00000000">
      <w:pPr>
        <w:shd w:val="clear" w:color="auto" w:fill="1E1E1E"/>
      </w:pPr>
      <w:r>
        <w:rPr>
          <w:rFonts w:ascii="Consolas" w:eastAsia="Consolas" w:hAnsi="Consolas" w:cs="Consolas"/>
          <w:color w:val="D4D4D4"/>
          <w:sz w:val="18"/>
          <w:szCs w:val="18"/>
        </w:rPr>
        <w:t>Gross Revenue = SUM(FactSales[GrossRevenue])</w:t>
      </w:r>
    </w:p>
    <w:p w14:paraId="378B4971" w14:textId="77777777" w:rsidR="002E02CE" w:rsidRDefault="00000000">
      <w:pPr>
        <w:shd w:val="clear" w:color="auto" w:fill="1E1E1E"/>
      </w:pPr>
      <w:r>
        <w:rPr>
          <w:rFonts w:ascii="Consolas" w:eastAsia="Consolas" w:hAnsi="Consolas" w:cs="Consolas"/>
          <w:color w:val="D4D4D4"/>
          <w:sz w:val="18"/>
          <w:szCs w:val="18"/>
        </w:rPr>
        <w:t xml:space="preserve"> </w:t>
      </w:r>
    </w:p>
    <w:p w14:paraId="758D52FB" w14:textId="77777777" w:rsidR="002E02CE" w:rsidRDefault="00000000">
      <w:pPr>
        <w:shd w:val="clear" w:color="auto" w:fill="1E1E1E"/>
      </w:pPr>
      <w:r>
        <w:rPr>
          <w:rFonts w:ascii="Consolas" w:eastAsia="Consolas" w:hAnsi="Consolas" w:cs="Consolas"/>
          <w:color w:val="D4D4D4"/>
          <w:sz w:val="18"/>
          <w:szCs w:val="18"/>
        </w:rPr>
        <w:t>Total Discount = SUM(FactSales[DiscountAmount])</w:t>
      </w:r>
    </w:p>
    <w:p w14:paraId="49B56CB5" w14:textId="77777777" w:rsidR="002E02CE" w:rsidRDefault="00000000">
      <w:pPr>
        <w:shd w:val="clear" w:color="auto" w:fill="1E1E1E"/>
      </w:pPr>
      <w:r>
        <w:rPr>
          <w:rFonts w:ascii="Consolas" w:eastAsia="Consolas" w:hAnsi="Consolas" w:cs="Consolas"/>
          <w:color w:val="D4D4D4"/>
          <w:sz w:val="18"/>
          <w:szCs w:val="18"/>
        </w:rPr>
        <w:t xml:space="preserve"> </w:t>
      </w:r>
    </w:p>
    <w:p w14:paraId="5018299B" w14:textId="77777777" w:rsidR="002E02CE" w:rsidRDefault="00000000">
      <w:pPr>
        <w:shd w:val="clear" w:color="auto" w:fill="1E1E1E"/>
      </w:pPr>
      <w:r>
        <w:rPr>
          <w:rFonts w:ascii="Consolas" w:eastAsia="Consolas" w:hAnsi="Consolas" w:cs="Consolas"/>
          <w:color w:val="D4D4D4"/>
          <w:sz w:val="18"/>
          <w:szCs w:val="18"/>
        </w:rPr>
        <w:t>Total Profit = SUM(FactSales[Profit])</w:t>
      </w:r>
    </w:p>
    <w:p w14:paraId="4A00EE95" w14:textId="77777777" w:rsidR="002E02CE" w:rsidRDefault="00000000">
      <w:pPr>
        <w:shd w:val="clear" w:color="auto" w:fill="1E1E1E"/>
      </w:pPr>
      <w:r>
        <w:rPr>
          <w:rFonts w:ascii="Consolas" w:eastAsia="Consolas" w:hAnsi="Consolas" w:cs="Consolas"/>
          <w:color w:val="D4D4D4"/>
          <w:sz w:val="18"/>
          <w:szCs w:val="18"/>
        </w:rPr>
        <w:t xml:space="preserve"> </w:t>
      </w:r>
    </w:p>
    <w:p w14:paraId="20CDAAB7" w14:textId="77777777" w:rsidR="002E02CE" w:rsidRDefault="00000000">
      <w:pPr>
        <w:shd w:val="clear" w:color="auto" w:fill="1E1E1E"/>
      </w:pPr>
      <w:r>
        <w:rPr>
          <w:rFonts w:ascii="Consolas" w:eastAsia="Consolas" w:hAnsi="Consolas" w:cs="Consolas"/>
          <w:color w:val="D4D4D4"/>
          <w:sz w:val="18"/>
          <w:szCs w:val="18"/>
        </w:rPr>
        <w:t>Total Orders = DISTINCTCOUNT(FactSales[OrderID])</w:t>
      </w:r>
    </w:p>
    <w:p w14:paraId="0D1AE721" w14:textId="77777777" w:rsidR="002E02CE" w:rsidRDefault="00000000">
      <w:pPr>
        <w:shd w:val="clear" w:color="auto" w:fill="1E1E1E"/>
      </w:pPr>
      <w:r>
        <w:rPr>
          <w:rFonts w:ascii="Consolas" w:eastAsia="Consolas" w:hAnsi="Consolas" w:cs="Consolas"/>
          <w:color w:val="D4D4D4"/>
          <w:sz w:val="18"/>
          <w:szCs w:val="18"/>
        </w:rPr>
        <w:t xml:space="preserve"> </w:t>
      </w:r>
    </w:p>
    <w:p w14:paraId="5C219CC0" w14:textId="77777777" w:rsidR="002E02CE" w:rsidRDefault="00000000">
      <w:pPr>
        <w:shd w:val="clear" w:color="auto" w:fill="1E1E1E"/>
        <w:spacing w:after="200"/>
      </w:pPr>
      <w:r>
        <w:rPr>
          <w:rFonts w:ascii="Consolas" w:eastAsia="Consolas" w:hAnsi="Consolas" w:cs="Consolas"/>
          <w:color w:val="D4D4D4"/>
          <w:sz w:val="18"/>
          <w:szCs w:val="18"/>
        </w:rPr>
        <w:t>Total Quantity = SUM(FactSales[Quantity])</w:t>
      </w:r>
    </w:p>
    <w:p w14:paraId="108761B2"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Pourquoi DISTINCTCOUNT(OrderID) et non COUNTROWS : </w:t>
      </w:r>
      <w:r>
        <w:rPr>
          <w:color w:val="333333"/>
        </w:rPr>
        <w:t>le grain de FactSales est la ligne de commande (OrderLineID), pas la commande. Une commande de 3 articles produit 3 lignes. Compter les lignes au lieu des OrderID distincts fausserait le panier moyen d'un facteur 2 ou 3 — une erreur critique puisque l'AOV est au cœur de la thèse.</w:t>
      </w:r>
    </w:p>
    <w:p w14:paraId="34BBAB61" w14:textId="77777777" w:rsidR="002E02CE" w:rsidRDefault="00000000">
      <w:pPr>
        <w:pStyle w:val="Titre2"/>
      </w:pPr>
      <w:bookmarkStart w:id="38" w:name="_Toc232967287"/>
      <w:r>
        <w:t>8.2 Groupe 2 — Mesures de marge</w:t>
      </w:r>
      <w:bookmarkEnd w:id="38"/>
    </w:p>
    <w:p w14:paraId="1EAA672E" w14:textId="77777777" w:rsidR="002E02CE" w:rsidRDefault="00000000">
      <w:pPr>
        <w:shd w:val="clear" w:color="auto" w:fill="1E1E1E"/>
      </w:pPr>
      <w:r>
        <w:rPr>
          <w:rFonts w:ascii="Consolas" w:eastAsia="Consolas" w:hAnsi="Consolas" w:cs="Consolas"/>
          <w:color w:val="D4D4D4"/>
          <w:sz w:val="18"/>
          <w:szCs w:val="18"/>
        </w:rPr>
        <w:t>Profit Margin % = DIVIDE([Total Profit], [Net Revenue], 0)</w:t>
      </w:r>
    </w:p>
    <w:p w14:paraId="0A45195E" w14:textId="77777777" w:rsidR="002E02CE" w:rsidRDefault="00000000">
      <w:pPr>
        <w:shd w:val="clear" w:color="auto" w:fill="1E1E1E"/>
      </w:pPr>
      <w:r>
        <w:rPr>
          <w:rFonts w:ascii="Consolas" w:eastAsia="Consolas" w:hAnsi="Consolas" w:cs="Consolas"/>
          <w:color w:val="D4D4D4"/>
          <w:sz w:val="18"/>
          <w:szCs w:val="18"/>
        </w:rPr>
        <w:t xml:space="preserve"> </w:t>
      </w:r>
    </w:p>
    <w:p w14:paraId="17EAF3D5" w14:textId="77777777" w:rsidR="002E02CE" w:rsidRDefault="00000000">
      <w:pPr>
        <w:shd w:val="clear" w:color="auto" w:fill="1E1E1E"/>
        <w:spacing w:after="200"/>
      </w:pPr>
      <w:r>
        <w:rPr>
          <w:rFonts w:ascii="Consolas" w:eastAsia="Consolas" w:hAnsi="Consolas" w:cs="Consolas"/>
          <w:color w:val="D4D4D4"/>
          <w:sz w:val="18"/>
          <w:szCs w:val="18"/>
        </w:rPr>
        <w:t>Discount Rate % = DIVIDE([Total Discount], [Gross Revenue], 0)</w:t>
      </w:r>
    </w:p>
    <w:p w14:paraId="2B98ED33"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Pourquoi DIVIDE() et jamais l'opérateur / : </w:t>
      </w:r>
      <w:r>
        <w:rPr>
          <w:color w:val="333333"/>
        </w:rPr>
        <w:t>DIVIDE gère nativement la division par zéro en retournant le troisième argument (ici 0) au lieu de produire une erreur #DIV/0!. Sur un visuel filtré à un contexte sans aucune vente, l'opérateur / casserait le visuel entier ; DIVIDE affiche proprement 0 %.</w:t>
      </w:r>
    </w:p>
    <w:p w14:paraId="24D0878F" w14:textId="77777777" w:rsidR="002E02CE" w:rsidRDefault="00000000">
      <w:pPr>
        <w:pStyle w:val="Titre2"/>
      </w:pPr>
      <w:bookmarkStart w:id="39" w:name="_Toc232967288"/>
      <w:r>
        <w:t>8.3 Groupe 3 — Mesures de trafic (FactTraffic)</w:t>
      </w:r>
      <w:bookmarkEnd w:id="39"/>
    </w:p>
    <w:p w14:paraId="6EED3E1B" w14:textId="77777777" w:rsidR="002E02CE" w:rsidRDefault="00000000">
      <w:pPr>
        <w:shd w:val="clear" w:color="auto" w:fill="1E1E1E"/>
      </w:pPr>
      <w:r>
        <w:rPr>
          <w:rFonts w:ascii="Consolas" w:eastAsia="Consolas" w:hAnsi="Consolas" w:cs="Consolas"/>
          <w:color w:val="D4D4D4"/>
          <w:sz w:val="18"/>
          <w:szCs w:val="18"/>
        </w:rPr>
        <w:t>Total Sessions = SUM(FactTraffic[Sessions])</w:t>
      </w:r>
    </w:p>
    <w:p w14:paraId="1E7484C0" w14:textId="77777777" w:rsidR="002E02CE" w:rsidRDefault="00000000">
      <w:pPr>
        <w:shd w:val="clear" w:color="auto" w:fill="1E1E1E"/>
      </w:pPr>
      <w:r>
        <w:rPr>
          <w:rFonts w:ascii="Consolas" w:eastAsia="Consolas" w:hAnsi="Consolas" w:cs="Consolas"/>
          <w:color w:val="D4D4D4"/>
          <w:sz w:val="18"/>
          <w:szCs w:val="18"/>
        </w:rPr>
        <w:t xml:space="preserve"> </w:t>
      </w:r>
    </w:p>
    <w:p w14:paraId="771585CD" w14:textId="77777777" w:rsidR="002E02CE" w:rsidRDefault="00000000">
      <w:pPr>
        <w:shd w:val="clear" w:color="auto" w:fill="1E1E1E"/>
      </w:pPr>
      <w:r>
        <w:rPr>
          <w:rFonts w:ascii="Consolas" w:eastAsia="Consolas" w:hAnsi="Consolas" w:cs="Consolas"/>
          <w:color w:val="D4D4D4"/>
          <w:sz w:val="18"/>
          <w:szCs w:val="18"/>
        </w:rPr>
        <w:t>Total AddToCart = SUM(FactTraffic[AddToCart])</w:t>
      </w:r>
    </w:p>
    <w:p w14:paraId="0FBAF154" w14:textId="77777777" w:rsidR="002E02CE" w:rsidRDefault="00000000">
      <w:pPr>
        <w:shd w:val="clear" w:color="auto" w:fill="1E1E1E"/>
      </w:pPr>
      <w:r>
        <w:rPr>
          <w:rFonts w:ascii="Consolas" w:eastAsia="Consolas" w:hAnsi="Consolas" w:cs="Consolas"/>
          <w:color w:val="D4D4D4"/>
          <w:sz w:val="18"/>
          <w:szCs w:val="18"/>
        </w:rPr>
        <w:t xml:space="preserve"> </w:t>
      </w:r>
    </w:p>
    <w:p w14:paraId="11C8CDB4" w14:textId="77777777" w:rsidR="002E02CE" w:rsidRDefault="00000000">
      <w:pPr>
        <w:shd w:val="clear" w:color="auto" w:fill="1E1E1E"/>
      </w:pPr>
      <w:r>
        <w:rPr>
          <w:rFonts w:ascii="Consolas" w:eastAsia="Consolas" w:hAnsi="Consolas" w:cs="Consolas"/>
          <w:color w:val="D4D4D4"/>
          <w:sz w:val="18"/>
          <w:szCs w:val="18"/>
        </w:rPr>
        <w:t>Total Conversions = SUM(FactTraffic[Conversions])</w:t>
      </w:r>
    </w:p>
    <w:p w14:paraId="5F882FFB" w14:textId="77777777" w:rsidR="002E02CE" w:rsidRDefault="00000000">
      <w:pPr>
        <w:shd w:val="clear" w:color="auto" w:fill="1E1E1E"/>
      </w:pPr>
      <w:r>
        <w:rPr>
          <w:rFonts w:ascii="Consolas" w:eastAsia="Consolas" w:hAnsi="Consolas" w:cs="Consolas"/>
          <w:color w:val="D4D4D4"/>
          <w:sz w:val="18"/>
          <w:szCs w:val="18"/>
        </w:rPr>
        <w:t xml:space="preserve"> </w:t>
      </w:r>
    </w:p>
    <w:p w14:paraId="06A595DD" w14:textId="77777777" w:rsidR="002E02CE" w:rsidRDefault="00000000">
      <w:pPr>
        <w:shd w:val="clear" w:color="auto" w:fill="1E1E1E"/>
        <w:spacing w:after="200"/>
      </w:pPr>
      <w:r>
        <w:rPr>
          <w:rFonts w:ascii="Consolas" w:eastAsia="Consolas" w:hAnsi="Consolas" w:cs="Consolas"/>
          <w:color w:val="D4D4D4"/>
          <w:sz w:val="18"/>
          <w:szCs w:val="18"/>
        </w:rPr>
        <w:t>Avg Bounce Rate = AVERAGE(FactTraffic[BounceRate])</w:t>
      </w:r>
    </w:p>
    <w:p w14:paraId="1973056C"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Limite connue d'Avg Bounce Rate : </w:t>
      </w:r>
      <w:r>
        <w:rPr>
          <w:color w:val="333333"/>
        </w:rPr>
        <w:t xml:space="preserve">c'est une moyenne de taux déjà calculés dans la table source, non pondérée par les sessions — un jour à 1000 sessions pèse autant qu'un jour à 50 sessions dans cette moyenne. Pour une version pondérée : DIVIDE(SUMX(FactTraffic, FactTraffic[BounceRate] * FactTraffic[Sessions]), [Total </w:t>
      </w:r>
      <w:r>
        <w:rPr>
          <w:color w:val="333333"/>
        </w:rPr>
        <w:lastRenderedPageBreak/>
        <w:t>Sessions]). Ce piège ne s'applique pas aux trois mesures qui portent la thèse (ConvRate, AOV, Sessions), qui sont déjà des ratios de sommes.</w:t>
      </w:r>
    </w:p>
    <w:p w14:paraId="6CA3B44F" w14:textId="77777777" w:rsidR="002E02CE" w:rsidRDefault="00000000">
      <w:pPr>
        <w:pStyle w:val="Titre2"/>
      </w:pPr>
      <w:bookmarkStart w:id="40" w:name="_Toc232967289"/>
      <w:r>
        <w:t>8.4 Groupe 4 — Les mesures au cœur de la thèse (Facteurs)</w:t>
      </w:r>
      <w:bookmarkEnd w:id="40"/>
    </w:p>
    <w:p w14:paraId="5F491DC1" w14:textId="77777777" w:rsidR="002E02CE" w:rsidRDefault="00000000">
      <w:pPr>
        <w:shd w:val="clear" w:color="auto" w:fill="1E1E1E"/>
      </w:pPr>
      <w:r>
        <w:rPr>
          <w:rFonts w:ascii="Consolas" w:eastAsia="Consolas" w:hAnsi="Consolas" w:cs="Consolas"/>
          <w:color w:val="D4D4D4"/>
          <w:sz w:val="18"/>
          <w:szCs w:val="18"/>
        </w:rPr>
        <w:t>Conversion Rate % = DIVIDE([Total Conversions], [Total Sessions], 0)</w:t>
      </w:r>
    </w:p>
    <w:p w14:paraId="1307540D" w14:textId="77777777" w:rsidR="002E02CE" w:rsidRDefault="00000000">
      <w:pPr>
        <w:shd w:val="clear" w:color="auto" w:fill="1E1E1E"/>
      </w:pPr>
      <w:r>
        <w:rPr>
          <w:rFonts w:ascii="Consolas" w:eastAsia="Consolas" w:hAnsi="Consolas" w:cs="Consolas"/>
          <w:color w:val="D4D4D4"/>
          <w:sz w:val="18"/>
          <w:szCs w:val="18"/>
        </w:rPr>
        <w:t xml:space="preserve"> </w:t>
      </w:r>
    </w:p>
    <w:p w14:paraId="1B302F85" w14:textId="77777777" w:rsidR="002E02CE" w:rsidRDefault="00000000">
      <w:pPr>
        <w:shd w:val="clear" w:color="auto" w:fill="1E1E1E"/>
      </w:pPr>
      <w:r>
        <w:rPr>
          <w:rFonts w:ascii="Consolas" w:eastAsia="Consolas" w:hAnsi="Consolas" w:cs="Consolas"/>
          <w:color w:val="D4D4D4"/>
          <w:sz w:val="18"/>
          <w:szCs w:val="18"/>
        </w:rPr>
        <w:t>Average Order Value = DIVIDE([Net Revenue], [Total Orders], 0)</w:t>
      </w:r>
    </w:p>
    <w:p w14:paraId="229BCF05" w14:textId="77777777" w:rsidR="002E02CE" w:rsidRDefault="00000000">
      <w:pPr>
        <w:shd w:val="clear" w:color="auto" w:fill="1E1E1E"/>
      </w:pPr>
      <w:r>
        <w:rPr>
          <w:rFonts w:ascii="Consolas" w:eastAsia="Consolas" w:hAnsi="Consolas" w:cs="Consolas"/>
          <w:color w:val="D4D4D4"/>
          <w:sz w:val="18"/>
          <w:szCs w:val="18"/>
        </w:rPr>
        <w:t xml:space="preserve"> </w:t>
      </w:r>
    </w:p>
    <w:p w14:paraId="4E61B427" w14:textId="77777777" w:rsidR="002E02CE" w:rsidRDefault="00000000">
      <w:pPr>
        <w:shd w:val="clear" w:color="auto" w:fill="1E1E1E"/>
      </w:pPr>
      <w:r>
        <w:rPr>
          <w:rFonts w:ascii="Consolas" w:eastAsia="Consolas" w:hAnsi="Consolas" w:cs="Consolas"/>
          <w:color w:val="D4D4D4"/>
          <w:sz w:val="18"/>
          <w:szCs w:val="18"/>
        </w:rPr>
        <w:t>Revenue per Session = DIVIDE([Net Revenue], [Total Sessions], 0)</w:t>
      </w:r>
    </w:p>
    <w:p w14:paraId="154924FF" w14:textId="77777777" w:rsidR="002E02CE" w:rsidRDefault="00000000">
      <w:pPr>
        <w:shd w:val="clear" w:color="auto" w:fill="1E1E1E"/>
      </w:pPr>
      <w:r>
        <w:rPr>
          <w:rFonts w:ascii="Consolas" w:eastAsia="Consolas" w:hAnsi="Consolas" w:cs="Consolas"/>
          <w:color w:val="D4D4D4"/>
          <w:sz w:val="18"/>
          <w:szCs w:val="18"/>
        </w:rPr>
        <w:t xml:space="preserve"> </w:t>
      </w:r>
    </w:p>
    <w:p w14:paraId="321D0289" w14:textId="77777777" w:rsidR="002E02CE" w:rsidRDefault="00000000">
      <w:pPr>
        <w:shd w:val="clear" w:color="auto" w:fill="1E1E1E"/>
        <w:spacing w:after="200"/>
      </w:pPr>
      <w:r>
        <w:rPr>
          <w:rFonts w:ascii="Consolas" w:eastAsia="Consolas" w:hAnsi="Consolas" w:cs="Consolas"/>
          <w:color w:val="D4D4D4"/>
          <w:sz w:val="18"/>
          <w:szCs w:val="18"/>
        </w:rPr>
        <w:t>Cart Rate % = DIVIDE([Total AddToCart], [Total Sessions], 0)</w:t>
      </w:r>
    </w:p>
    <w:p w14:paraId="1DF70894" w14:textId="77777777" w:rsidR="002E02CE" w:rsidRDefault="00000000">
      <w:pPr>
        <w:spacing w:after="160" w:line="276" w:lineRule="auto"/>
      </w:pPr>
      <w:r>
        <w:t>Ces quatre mesures formalisent exactement les calculs effectués manuellement en phase exploratoire pour établir la thèse. Posées comme mesures DAX, elles deviennent réutilisables dans n'importe quel visuel, recalculées dynamiquement selon le contexte de filtre (Date, Région, Canal) sans duplication de logique.</w:t>
      </w:r>
    </w:p>
    <w:p w14:paraId="2910E232" w14:textId="77777777" w:rsidR="002E02CE" w:rsidRDefault="00000000">
      <w:pPr>
        <w:pStyle w:val="Titre2"/>
      </w:pPr>
      <w:bookmarkStart w:id="41" w:name="_Toc232967290"/>
      <w:r>
        <w:t>8.5 Groupe 5 — Time Intelligence</w:t>
      </w:r>
      <w:bookmarkEnd w:id="41"/>
    </w:p>
    <w:p w14:paraId="07C25622" w14:textId="77777777" w:rsidR="002E02CE" w:rsidRDefault="00000000">
      <w:pPr>
        <w:spacing w:after="160" w:line="276" w:lineRule="auto"/>
      </w:pPr>
      <w:r>
        <w:t>Nécessite que DimDate soit marquée comme table de dates (voir section 7.5).</w:t>
      </w:r>
    </w:p>
    <w:p w14:paraId="456F1225" w14:textId="77777777" w:rsidR="002E02CE" w:rsidRDefault="00000000">
      <w:pPr>
        <w:shd w:val="clear" w:color="auto" w:fill="1E1E1E"/>
      </w:pPr>
      <w:r>
        <w:rPr>
          <w:rFonts w:ascii="Consolas" w:eastAsia="Consolas" w:hAnsi="Consolas" w:cs="Consolas"/>
          <w:color w:val="D4D4D4"/>
          <w:sz w:val="18"/>
          <w:szCs w:val="18"/>
        </w:rPr>
        <w:t>Net Revenue PY = CALCULATE([Net Revenue], SAMEPERIODLASTYEAR(DimDate[Date]))</w:t>
      </w:r>
    </w:p>
    <w:p w14:paraId="5117ED55" w14:textId="77777777" w:rsidR="002E02CE" w:rsidRDefault="00000000">
      <w:pPr>
        <w:shd w:val="clear" w:color="auto" w:fill="1E1E1E"/>
      </w:pPr>
      <w:r>
        <w:rPr>
          <w:rFonts w:ascii="Consolas" w:eastAsia="Consolas" w:hAnsi="Consolas" w:cs="Consolas"/>
          <w:color w:val="D4D4D4"/>
          <w:sz w:val="18"/>
          <w:szCs w:val="18"/>
        </w:rPr>
        <w:t xml:space="preserve"> </w:t>
      </w:r>
    </w:p>
    <w:p w14:paraId="1DF8B231" w14:textId="77777777" w:rsidR="002E02CE" w:rsidRDefault="00000000">
      <w:pPr>
        <w:shd w:val="clear" w:color="auto" w:fill="1E1E1E"/>
      </w:pPr>
      <w:r>
        <w:rPr>
          <w:rFonts w:ascii="Consolas" w:eastAsia="Consolas" w:hAnsi="Consolas" w:cs="Consolas"/>
          <w:color w:val="D4D4D4"/>
          <w:sz w:val="18"/>
          <w:szCs w:val="18"/>
        </w:rPr>
        <w:t>Net Revenue YoY % = DIVIDE([Net Revenue] - [Net Revenue PY], [Net Revenue PY], 0)</w:t>
      </w:r>
    </w:p>
    <w:p w14:paraId="68D8D33F" w14:textId="77777777" w:rsidR="002E02CE" w:rsidRDefault="00000000">
      <w:pPr>
        <w:shd w:val="clear" w:color="auto" w:fill="1E1E1E"/>
      </w:pPr>
      <w:r>
        <w:rPr>
          <w:rFonts w:ascii="Consolas" w:eastAsia="Consolas" w:hAnsi="Consolas" w:cs="Consolas"/>
          <w:color w:val="D4D4D4"/>
          <w:sz w:val="18"/>
          <w:szCs w:val="18"/>
        </w:rPr>
        <w:t xml:space="preserve"> </w:t>
      </w:r>
    </w:p>
    <w:p w14:paraId="612D02BC" w14:textId="77777777" w:rsidR="002E02CE" w:rsidRDefault="00000000">
      <w:pPr>
        <w:shd w:val="clear" w:color="auto" w:fill="1E1E1E"/>
        <w:spacing w:after="200"/>
      </w:pPr>
      <w:r>
        <w:rPr>
          <w:rFonts w:ascii="Consolas" w:eastAsia="Consolas" w:hAnsi="Consolas" w:cs="Consolas"/>
          <w:color w:val="D4D4D4"/>
          <w:sz w:val="18"/>
          <w:szCs w:val="18"/>
        </w:rPr>
        <w:t>Net Revenue YTD = TOTALYTD([Net Revenue], DimDate[Date])</w:t>
      </w:r>
    </w:p>
    <w:p w14:paraId="16CEC0E3" w14:textId="77777777" w:rsidR="002E02CE" w:rsidRDefault="00000000">
      <w:pPr>
        <w:spacing w:after="160" w:line="276" w:lineRule="auto"/>
      </w:pPr>
      <w:r>
        <w:t>Ces mesures restent utiles pour la page de vue d'ensemble (suivi courant), mais ne portent pas le narratif principal du rapport, qui repose sur une comparaison structurelle 2021 → 2025 plutôt que sur un glissement annuel (voir section 8.6).</w:t>
      </w:r>
    </w:p>
    <w:p w14:paraId="14CA8F19" w14:textId="77777777" w:rsidR="002E02CE" w:rsidRDefault="00000000">
      <w:pPr>
        <w:pStyle w:val="Titre2"/>
      </w:pPr>
      <w:bookmarkStart w:id="42" w:name="_Toc232967291"/>
      <w:r>
        <w:t>8.6 Groupe 6 — Mesures de diagnostic régional, comparaison fixe 2021 → 2025</w:t>
      </w:r>
      <w:bookmarkEnd w:id="42"/>
    </w:p>
    <w:p w14:paraId="39E06243" w14:textId="77777777" w:rsidR="002E02CE" w:rsidRDefault="00000000">
      <w:pPr>
        <w:spacing w:after="160" w:line="276" w:lineRule="auto"/>
      </w:pPr>
      <w:r>
        <w:t>Choix méthodologique : la thèse porte sur un diagnostic structurel de cinq ans, non sur une fluctuation récente. Un YoY glissant répond à « comment ça se passe en ce moment », alors que la question posée est « le trafic a-t-il crû pendant que la conversion stagnait, sur toute la période ». Les bornes 2021 et 2025 sont donc figées intentionnellement, et le nom des mesures le rend explicite pour éviter toute ambiguïté lors d'une relecture future du modèle.</w:t>
      </w:r>
    </w:p>
    <w:p w14:paraId="7026764F" w14:textId="77777777" w:rsidR="002E02CE" w:rsidRDefault="00000000">
      <w:pPr>
        <w:shd w:val="clear" w:color="auto" w:fill="1E1E1E"/>
      </w:pPr>
      <w:r>
        <w:rPr>
          <w:rFonts w:ascii="Consolas" w:eastAsia="Consolas" w:hAnsi="Consolas" w:cs="Consolas"/>
          <w:color w:val="D4D4D4"/>
          <w:sz w:val="18"/>
          <w:szCs w:val="18"/>
        </w:rPr>
        <w:t>Net Revenue 2021 = CALCULATE([Net Revenue], DimDate[Year] = 2021)</w:t>
      </w:r>
    </w:p>
    <w:p w14:paraId="0E95A9F7" w14:textId="77777777" w:rsidR="002E02CE" w:rsidRDefault="00000000">
      <w:pPr>
        <w:shd w:val="clear" w:color="auto" w:fill="1E1E1E"/>
      </w:pPr>
      <w:r>
        <w:rPr>
          <w:rFonts w:ascii="Consolas" w:eastAsia="Consolas" w:hAnsi="Consolas" w:cs="Consolas"/>
          <w:color w:val="D4D4D4"/>
          <w:sz w:val="18"/>
          <w:szCs w:val="18"/>
        </w:rPr>
        <w:t>Net Revenue 2025 = CALCULATE([Net Revenue], DimDate[Year] = 2025)</w:t>
      </w:r>
    </w:p>
    <w:p w14:paraId="1EA6268C" w14:textId="77777777" w:rsidR="002E02CE" w:rsidRDefault="00000000">
      <w:pPr>
        <w:shd w:val="clear" w:color="auto" w:fill="1E1E1E"/>
      </w:pPr>
      <w:r>
        <w:rPr>
          <w:rFonts w:ascii="Consolas" w:eastAsia="Consolas" w:hAnsi="Consolas" w:cs="Consolas"/>
          <w:color w:val="D4D4D4"/>
          <w:sz w:val="18"/>
          <w:szCs w:val="18"/>
        </w:rPr>
        <w:t xml:space="preserve"> </w:t>
      </w:r>
    </w:p>
    <w:p w14:paraId="67219D14" w14:textId="77777777" w:rsidR="002E02CE" w:rsidRDefault="00000000">
      <w:pPr>
        <w:shd w:val="clear" w:color="auto" w:fill="1E1E1E"/>
      </w:pPr>
      <w:r>
        <w:rPr>
          <w:rFonts w:ascii="Consolas" w:eastAsia="Consolas" w:hAnsi="Consolas" w:cs="Consolas"/>
          <w:color w:val="D4D4D4"/>
          <w:sz w:val="18"/>
          <w:szCs w:val="18"/>
        </w:rPr>
        <w:t>Sessions 2021 = CALCULATE([Total Sessions], DimDate[Year] = 2021)</w:t>
      </w:r>
    </w:p>
    <w:p w14:paraId="0F93E867" w14:textId="77777777" w:rsidR="002E02CE" w:rsidRDefault="00000000">
      <w:pPr>
        <w:shd w:val="clear" w:color="auto" w:fill="1E1E1E"/>
      </w:pPr>
      <w:r>
        <w:rPr>
          <w:rFonts w:ascii="Consolas" w:eastAsia="Consolas" w:hAnsi="Consolas" w:cs="Consolas"/>
          <w:color w:val="D4D4D4"/>
          <w:sz w:val="18"/>
          <w:szCs w:val="18"/>
        </w:rPr>
        <w:t>Sessions 2025 = CALCULATE([Total Sessions], DimDate[Year] = 2025)</w:t>
      </w:r>
    </w:p>
    <w:p w14:paraId="38476C9E" w14:textId="77777777" w:rsidR="002E02CE" w:rsidRDefault="00000000">
      <w:pPr>
        <w:shd w:val="clear" w:color="auto" w:fill="1E1E1E"/>
      </w:pPr>
      <w:r>
        <w:rPr>
          <w:rFonts w:ascii="Consolas" w:eastAsia="Consolas" w:hAnsi="Consolas" w:cs="Consolas"/>
          <w:color w:val="D4D4D4"/>
          <w:sz w:val="18"/>
          <w:szCs w:val="18"/>
        </w:rPr>
        <w:t xml:space="preserve"> </w:t>
      </w:r>
    </w:p>
    <w:p w14:paraId="271EC1E4" w14:textId="77777777" w:rsidR="002E02CE" w:rsidRDefault="00000000">
      <w:pPr>
        <w:shd w:val="clear" w:color="auto" w:fill="1E1E1E"/>
      </w:pPr>
      <w:r>
        <w:rPr>
          <w:rFonts w:ascii="Consolas" w:eastAsia="Consolas" w:hAnsi="Consolas" w:cs="Consolas"/>
          <w:color w:val="D4D4D4"/>
          <w:sz w:val="18"/>
          <w:szCs w:val="18"/>
        </w:rPr>
        <w:t>Revenue Growth Index 2021-2025 =</w:t>
      </w:r>
    </w:p>
    <w:p w14:paraId="62010F28" w14:textId="77777777" w:rsidR="002E02CE" w:rsidRDefault="00000000">
      <w:pPr>
        <w:shd w:val="clear" w:color="auto" w:fill="1E1E1E"/>
      </w:pPr>
      <w:r>
        <w:rPr>
          <w:rFonts w:ascii="Consolas" w:eastAsia="Consolas" w:hAnsi="Consolas" w:cs="Consolas"/>
          <w:color w:val="D4D4D4"/>
          <w:sz w:val="18"/>
          <w:szCs w:val="18"/>
        </w:rPr>
        <w:t>DIVIDE([Net Revenue 2025], [Net Revenue 2021], BLANK()) * 100</w:t>
      </w:r>
    </w:p>
    <w:p w14:paraId="5DAF6EBC" w14:textId="77777777" w:rsidR="002E02CE" w:rsidRDefault="00000000">
      <w:pPr>
        <w:shd w:val="clear" w:color="auto" w:fill="1E1E1E"/>
      </w:pPr>
      <w:r>
        <w:rPr>
          <w:rFonts w:ascii="Consolas" w:eastAsia="Consolas" w:hAnsi="Consolas" w:cs="Consolas"/>
          <w:color w:val="D4D4D4"/>
          <w:sz w:val="18"/>
          <w:szCs w:val="18"/>
        </w:rPr>
        <w:t xml:space="preserve"> </w:t>
      </w:r>
    </w:p>
    <w:p w14:paraId="2E381025" w14:textId="77777777" w:rsidR="002E02CE" w:rsidRDefault="00000000">
      <w:pPr>
        <w:shd w:val="clear" w:color="auto" w:fill="1E1E1E"/>
      </w:pPr>
      <w:r>
        <w:rPr>
          <w:rFonts w:ascii="Consolas" w:eastAsia="Consolas" w:hAnsi="Consolas" w:cs="Consolas"/>
          <w:color w:val="D4D4D4"/>
          <w:sz w:val="18"/>
          <w:szCs w:val="18"/>
        </w:rPr>
        <w:t>Sessions Growth Index 2021-2025 =</w:t>
      </w:r>
    </w:p>
    <w:p w14:paraId="37D019DC" w14:textId="77777777" w:rsidR="002E02CE" w:rsidRDefault="00000000">
      <w:pPr>
        <w:shd w:val="clear" w:color="auto" w:fill="1E1E1E"/>
      </w:pPr>
      <w:r>
        <w:rPr>
          <w:rFonts w:ascii="Consolas" w:eastAsia="Consolas" w:hAnsi="Consolas" w:cs="Consolas"/>
          <w:color w:val="D4D4D4"/>
          <w:sz w:val="18"/>
          <w:szCs w:val="18"/>
        </w:rPr>
        <w:t>DIVIDE([Sessions 2025], [Sessions 2021], BLANK()) * 100</w:t>
      </w:r>
    </w:p>
    <w:p w14:paraId="457CCC29" w14:textId="77777777" w:rsidR="002E02CE" w:rsidRDefault="00000000">
      <w:pPr>
        <w:shd w:val="clear" w:color="auto" w:fill="1E1E1E"/>
      </w:pPr>
      <w:r>
        <w:rPr>
          <w:rFonts w:ascii="Consolas" w:eastAsia="Consolas" w:hAnsi="Consolas" w:cs="Consolas"/>
          <w:color w:val="D4D4D4"/>
          <w:sz w:val="18"/>
          <w:szCs w:val="18"/>
        </w:rPr>
        <w:lastRenderedPageBreak/>
        <w:t xml:space="preserve"> </w:t>
      </w:r>
    </w:p>
    <w:p w14:paraId="5FB1266C" w14:textId="77777777" w:rsidR="002E02CE" w:rsidRDefault="00000000">
      <w:pPr>
        <w:shd w:val="clear" w:color="auto" w:fill="1E1E1E"/>
      </w:pPr>
      <w:r>
        <w:rPr>
          <w:rFonts w:ascii="Consolas" w:eastAsia="Consolas" w:hAnsi="Consolas" w:cs="Consolas"/>
          <w:color w:val="D4D4D4"/>
          <w:sz w:val="18"/>
          <w:szCs w:val="18"/>
        </w:rPr>
        <w:t>Revenue vs Traffic Gap 2021-2025 =</w:t>
      </w:r>
    </w:p>
    <w:p w14:paraId="2A1BDBCC" w14:textId="77777777" w:rsidR="002E02CE" w:rsidRDefault="00000000">
      <w:pPr>
        <w:shd w:val="clear" w:color="auto" w:fill="1E1E1E"/>
        <w:spacing w:after="200"/>
      </w:pPr>
      <w:r>
        <w:rPr>
          <w:rFonts w:ascii="Consolas" w:eastAsia="Consolas" w:hAnsi="Consolas" w:cs="Consolas"/>
          <w:color w:val="D4D4D4"/>
          <w:sz w:val="18"/>
          <w:szCs w:val="18"/>
        </w:rPr>
        <w:t>[Revenue Growth Index 2021-2025] - [Sessions Growth Index 2021-2025]</w:t>
      </w:r>
    </w:p>
    <w:p w14:paraId="09CBDD6E"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Revenue vs Traffic Gap 2021-2025 : </w:t>
      </w:r>
      <w:r>
        <w:rPr>
          <w:color w:val="333333"/>
        </w:rPr>
        <w:t>c'est la formalisation DAX directe du calcul ayant révélé le signal Allemagne / États-Unis / Brésil vs Royaume-Uni. Placée sur une carte par pays avec un code couleur, elle pointe la conclusion sans exiger d'interprétation d'un tableau de chiffres bruts — exactement le type de visuel « insight direct » recherché par un comité exécutif.</w:t>
      </w:r>
    </w:p>
    <w:p w14:paraId="6CFA80E7"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Point de vigilance pour la mise en page : </w:t>
      </w:r>
      <w:r>
        <w:rPr>
          <w:color w:val="333333"/>
        </w:rPr>
        <w:t>ces mesures ignorent tout slicer Année placé sur la même page, puisqu'elles définissent leurs propres bornes via CALCULATE. Ce n'est pas un bug, mais cela doit être rendu explicite dans le titre du visuel (ex. « Écart croissance Revenu vs Trafic — 2021 à 2025 »), sous peine de laisser croire à une interactivité qui n'existe pas.</w:t>
      </w:r>
    </w:p>
    <w:p w14:paraId="613003BE" w14:textId="77777777" w:rsidR="002E02CE" w:rsidRDefault="00000000">
      <w:r>
        <w:br w:type="page"/>
      </w:r>
    </w:p>
    <w:p w14:paraId="0A0C8A89" w14:textId="77777777" w:rsidR="002E02CE" w:rsidRDefault="00000000">
      <w:pPr>
        <w:pStyle w:val="Titre1"/>
      </w:pPr>
      <w:bookmarkStart w:id="43" w:name="_Toc232967292"/>
      <w:r>
        <w:lastRenderedPageBreak/>
        <w:t>9. Colonnes calculées et transformations Power Query</w:t>
      </w:r>
      <w:bookmarkEnd w:id="43"/>
    </w:p>
    <w:p w14:paraId="1E2B5C93" w14:textId="77777777" w:rsidR="002E02CE" w:rsidRDefault="00000000">
      <w:pPr>
        <w:spacing w:after="160" w:line="276" w:lineRule="auto"/>
      </w:pPr>
      <w:r>
        <w:t>Règle générale retenue : si une valeur sert à trancher, grouper ou filtrer un visuel, elle doit être une colonne (matérialisée ligne par ligne, filtrable comme axe). Si elle sert à agréger un résultat selon le contexte de filtre courant, elle doit être une mesure (rien de stocké, recalculée à la volée, déjà couvert en section 8).</w:t>
      </w:r>
    </w:p>
    <w:p w14:paraId="008B2CBA" w14:textId="77777777" w:rsidR="002E02CE" w:rsidRDefault="00000000">
      <w:pPr>
        <w:pStyle w:val="Titre2"/>
      </w:pPr>
      <w:bookmarkStart w:id="44" w:name="_Toc232967293"/>
      <w:r>
        <w:t>9.1 Nettoyage PromoType — Power Query, pas DAX</w:t>
      </w:r>
      <w:bookmarkEnd w:id="44"/>
    </w:p>
    <w:p w14:paraId="763F8D52" w14:textId="77777777" w:rsidR="002E02CE" w:rsidRDefault="00000000">
      <w:pPr>
        <w:spacing w:after="160" w:line="276" w:lineRule="auto"/>
      </w:pPr>
      <w:r>
        <w:t>Choix volontaire de traiter ce nettoyage en amont (Power Query / langage M) plutôt qu'en colonne calculée DAX, pour deux raisons : la transformation s'exécute une fois au chargement plutôt qu'à chaque interaction du rapport (performance), et elle garde la couche DAX consacrée aux calculs métier plutôt qu'à de la cosmétique de présentation (lisibilité du modèle).</w:t>
      </w:r>
    </w:p>
    <w:p w14:paraId="7F1D7401" w14:textId="77777777" w:rsidR="002E02CE" w:rsidRDefault="00000000">
      <w:pPr>
        <w:shd w:val="clear" w:color="auto" w:fill="1E1E1E"/>
      </w:pPr>
      <w:r>
        <w:rPr>
          <w:rFonts w:ascii="Consolas" w:eastAsia="Consolas" w:hAnsi="Consolas" w:cs="Consolas"/>
          <w:color w:val="D4D4D4"/>
          <w:sz w:val="18"/>
          <w:szCs w:val="18"/>
        </w:rPr>
        <w:t>#"PromoType nettoyé" = Table.TransformColumns(</w:t>
      </w:r>
    </w:p>
    <w:p w14:paraId="27F8416D" w14:textId="77777777" w:rsidR="002E02CE" w:rsidRDefault="00000000">
      <w:pPr>
        <w:shd w:val="clear" w:color="auto" w:fill="1E1E1E"/>
      </w:pPr>
      <w:r>
        <w:rPr>
          <w:rFonts w:ascii="Consolas" w:eastAsia="Consolas" w:hAnsi="Consolas" w:cs="Consolas"/>
          <w:color w:val="D4D4D4"/>
          <w:sz w:val="18"/>
          <w:szCs w:val="18"/>
        </w:rPr>
        <w:t xml:space="preserve">    #"En-têtes promus",</w:t>
      </w:r>
    </w:p>
    <w:p w14:paraId="79F2BE32" w14:textId="77777777" w:rsidR="002E02CE" w:rsidRDefault="00000000">
      <w:pPr>
        <w:shd w:val="clear" w:color="auto" w:fill="1E1E1E"/>
      </w:pPr>
      <w:r>
        <w:rPr>
          <w:rFonts w:ascii="Consolas" w:eastAsia="Consolas" w:hAnsi="Consolas" w:cs="Consolas"/>
          <w:color w:val="D4D4D4"/>
          <w:sz w:val="18"/>
          <w:szCs w:val="18"/>
        </w:rPr>
        <w:t xml:space="preserve">    {{"PromoType", each if _ = null or _ = "" then "Prix Plein" else _, type text}}</w:t>
      </w:r>
    </w:p>
    <w:p w14:paraId="70778EEE" w14:textId="77777777" w:rsidR="002E02CE" w:rsidRDefault="00000000">
      <w:pPr>
        <w:shd w:val="clear" w:color="auto" w:fill="1E1E1E"/>
        <w:spacing w:after="200"/>
      </w:pPr>
      <w:r>
        <w:rPr>
          <w:rFonts w:ascii="Consolas" w:eastAsia="Consolas" w:hAnsi="Consolas" w:cs="Consolas"/>
          <w:color w:val="D4D4D4"/>
          <w:sz w:val="18"/>
          <w:szCs w:val="18"/>
        </w:rPr>
        <w:t>)</w:t>
      </w:r>
    </w:p>
    <w:p w14:paraId="35B32996" w14:textId="77777777" w:rsidR="002E02CE" w:rsidRDefault="00000000">
      <w:pPr>
        <w:pBdr>
          <w:left w:val="single" w:sz="24" w:space="8" w:color="C0392B"/>
        </w:pBdr>
        <w:shd w:val="clear" w:color="auto" w:fill="FBEAEA"/>
        <w:spacing w:before="120" w:after="200" w:line="276" w:lineRule="auto"/>
        <w:ind w:left="360"/>
      </w:pPr>
      <w:r>
        <w:rPr>
          <w:b/>
          <w:bCs/>
          <w:color w:val="C0392B"/>
        </w:rPr>
        <w:t xml:space="preserve">Conformité réglementaire : </w:t>
      </w:r>
      <w:r>
        <w:rPr>
          <w:color w:val="333333"/>
        </w:rPr>
        <w:t>ce remplacement de NULL par un libellé est une transformation de présentation dans la couche modèle — le fichier CSV source reste intact. Il s'agit d'une opération de modélisation explicitement autorisée par le règlement (« Vous pouvez : Modéliser les données, Transforme-le, analysez-le »), distincte d'une modification de la donnée source, qui reste interdite.</w:t>
      </w:r>
    </w:p>
    <w:p w14:paraId="354F3357" w14:textId="77777777" w:rsidR="002E02CE" w:rsidRDefault="00000000">
      <w:pPr>
        <w:pStyle w:val="Titre2"/>
      </w:pPr>
      <w:bookmarkStart w:id="45" w:name="_Toc232967294"/>
      <w:r>
        <w:t>9.2 Colonne calculée — Price Tier (DimProduct)</w:t>
      </w:r>
      <w:bookmarkEnd w:id="45"/>
    </w:p>
    <w:p w14:paraId="3A714DE6" w14:textId="77777777" w:rsidR="002E02CE" w:rsidRDefault="00000000">
      <w:pPr>
        <w:shd w:val="clear" w:color="auto" w:fill="1E1E1E"/>
      </w:pPr>
      <w:r>
        <w:rPr>
          <w:rFonts w:ascii="Consolas" w:eastAsia="Consolas" w:hAnsi="Consolas" w:cs="Consolas"/>
          <w:color w:val="D4D4D4"/>
          <w:sz w:val="18"/>
          <w:szCs w:val="18"/>
        </w:rPr>
        <w:t>Price Tier =</w:t>
      </w:r>
    </w:p>
    <w:p w14:paraId="27C63A5C" w14:textId="77777777" w:rsidR="002E02CE" w:rsidRDefault="00000000">
      <w:pPr>
        <w:shd w:val="clear" w:color="auto" w:fill="1E1E1E"/>
      </w:pPr>
      <w:r>
        <w:rPr>
          <w:rFonts w:ascii="Consolas" w:eastAsia="Consolas" w:hAnsi="Consolas" w:cs="Consolas"/>
          <w:color w:val="D4D4D4"/>
          <w:sz w:val="18"/>
          <w:szCs w:val="18"/>
        </w:rPr>
        <w:t>SWITCH(</w:t>
      </w:r>
    </w:p>
    <w:p w14:paraId="7AB9B209" w14:textId="77777777" w:rsidR="002E02CE" w:rsidRDefault="00000000">
      <w:pPr>
        <w:shd w:val="clear" w:color="auto" w:fill="1E1E1E"/>
      </w:pPr>
      <w:r>
        <w:rPr>
          <w:rFonts w:ascii="Consolas" w:eastAsia="Consolas" w:hAnsi="Consolas" w:cs="Consolas"/>
          <w:color w:val="D4D4D4"/>
          <w:sz w:val="18"/>
          <w:szCs w:val="18"/>
        </w:rPr>
        <w:t xml:space="preserve">    TRUE(),</w:t>
      </w:r>
    </w:p>
    <w:p w14:paraId="40F00293" w14:textId="77777777" w:rsidR="002E02CE" w:rsidRDefault="00000000">
      <w:pPr>
        <w:shd w:val="clear" w:color="auto" w:fill="1E1E1E"/>
      </w:pPr>
      <w:r>
        <w:rPr>
          <w:rFonts w:ascii="Consolas" w:eastAsia="Consolas" w:hAnsi="Consolas" w:cs="Consolas"/>
          <w:color w:val="D4D4D4"/>
          <w:sz w:val="18"/>
          <w:szCs w:val="18"/>
        </w:rPr>
        <w:t xml:space="preserve">    DimProduct[BasePrice] &lt; 50, "Entrée de gamme",</w:t>
      </w:r>
    </w:p>
    <w:p w14:paraId="529F8C41" w14:textId="77777777" w:rsidR="002E02CE" w:rsidRDefault="00000000">
      <w:pPr>
        <w:shd w:val="clear" w:color="auto" w:fill="1E1E1E"/>
      </w:pPr>
      <w:r>
        <w:rPr>
          <w:rFonts w:ascii="Consolas" w:eastAsia="Consolas" w:hAnsi="Consolas" w:cs="Consolas"/>
          <w:color w:val="D4D4D4"/>
          <w:sz w:val="18"/>
          <w:szCs w:val="18"/>
        </w:rPr>
        <w:t xml:space="preserve">    DimProduct[BasePrice] &lt; 100, "Milieu de gamme",</w:t>
      </w:r>
    </w:p>
    <w:p w14:paraId="4DD4850F" w14:textId="77777777" w:rsidR="002E02CE" w:rsidRDefault="00000000">
      <w:pPr>
        <w:shd w:val="clear" w:color="auto" w:fill="1E1E1E"/>
      </w:pPr>
      <w:r>
        <w:rPr>
          <w:rFonts w:ascii="Consolas" w:eastAsia="Consolas" w:hAnsi="Consolas" w:cs="Consolas"/>
          <w:color w:val="D4D4D4"/>
          <w:sz w:val="18"/>
          <w:szCs w:val="18"/>
        </w:rPr>
        <w:t xml:space="preserve">    DimProduct[BasePrice] &lt; 150, "Premium",</w:t>
      </w:r>
    </w:p>
    <w:p w14:paraId="6D017C6B" w14:textId="77777777" w:rsidR="002E02CE" w:rsidRDefault="00000000">
      <w:pPr>
        <w:shd w:val="clear" w:color="auto" w:fill="1E1E1E"/>
      </w:pPr>
      <w:r>
        <w:rPr>
          <w:rFonts w:ascii="Consolas" w:eastAsia="Consolas" w:hAnsi="Consolas" w:cs="Consolas"/>
          <w:color w:val="D4D4D4"/>
          <w:sz w:val="18"/>
          <w:szCs w:val="18"/>
        </w:rPr>
        <w:t xml:space="preserve">    "Ultra-Premium"</w:t>
      </w:r>
    </w:p>
    <w:p w14:paraId="6D0F0B41" w14:textId="77777777" w:rsidR="002E02CE" w:rsidRDefault="00000000">
      <w:pPr>
        <w:shd w:val="clear" w:color="auto" w:fill="1E1E1E"/>
        <w:spacing w:after="200"/>
      </w:pPr>
      <w:r>
        <w:rPr>
          <w:rFonts w:ascii="Consolas" w:eastAsia="Consolas" w:hAnsi="Consolas" w:cs="Consolas"/>
          <w:color w:val="D4D4D4"/>
          <w:sz w:val="18"/>
          <w:szCs w:val="18"/>
        </w:rPr>
        <w:t>)</w:t>
      </w:r>
    </w:p>
    <w:p w14:paraId="752FBC83" w14:textId="77777777" w:rsidR="002E02CE" w:rsidRDefault="00000000">
      <w:pPr>
        <w:spacing w:after="160" w:line="276" w:lineRule="auto"/>
      </w:pPr>
      <w:r>
        <w:t>Colonne plutôt que mesure : c'est un attribut qualitatif fixe du produit, utile comme axe de segmentation (slicer, axe de visuel), identique quel que soit le filtre appliqué. Lien avec la thèse : croisée avec Country, cette colonne pourrait affiner la recommandation n°2 en révélant si les marchés en sur-performance d'AOV achètent proportionnellement plus de produits Premium / Ultra-Premium — une piste d'investigation suggérée mais non testée dans le cadre de ce projet.</w:t>
      </w:r>
    </w:p>
    <w:p w14:paraId="435FF031" w14:textId="77777777" w:rsidR="002E02CE" w:rsidRDefault="00000000">
      <w:pPr>
        <w:pStyle w:val="Titre2"/>
      </w:pPr>
      <w:bookmarkStart w:id="46" w:name="_Toc232967295"/>
      <w:r>
        <w:t>9.3 Colonne calculée — Acquisition Year (DimCustomer)</w:t>
      </w:r>
      <w:bookmarkEnd w:id="46"/>
    </w:p>
    <w:p w14:paraId="528E525B" w14:textId="77777777" w:rsidR="002E02CE" w:rsidRDefault="00000000">
      <w:pPr>
        <w:shd w:val="clear" w:color="auto" w:fill="1E1E1E"/>
        <w:spacing w:after="200"/>
      </w:pPr>
      <w:r>
        <w:rPr>
          <w:rFonts w:ascii="Consolas" w:eastAsia="Consolas" w:hAnsi="Consolas" w:cs="Consolas"/>
          <w:color w:val="D4D4D4"/>
          <w:sz w:val="18"/>
          <w:szCs w:val="18"/>
        </w:rPr>
        <w:t>Acquisition Year = YEAR(DimCustomer[JoinDate])</w:t>
      </w:r>
    </w:p>
    <w:p w14:paraId="38FA3CA2" w14:textId="77777777" w:rsidR="002E02CE" w:rsidRDefault="00000000">
      <w:pPr>
        <w:spacing w:after="160" w:line="276" w:lineRule="auto"/>
      </w:pPr>
      <w:r>
        <w:t xml:space="preserve">DimCustomer dispose déjà de TenureBucket, une catégorie relative dont la valeur change avec le temps (« ancien » aujourd'hui ne signifie pas la même chose dans deux ans). Acquisition Year crée une cohorte fixe : les clients acquis en 2022 restent « cohorte 2022 » en permanence </w:t>
      </w:r>
      <w:r>
        <w:lastRenderedPageBreak/>
        <w:t>— utile pour une analyse future du comportement d'achat dans la durée des clients acquis pendant une fenêtre de tournoi, question restée hors du périmètre traité ici.</w:t>
      </w:r>
    </w:p>
    <w:p w14:paraId="72F4E8F1" w14:textId="77777777" w:rsidR="002E02CE" w:rsidRDefault="00000000">
      <w:pPr>
        <w:pStyle w:val="Titre2"/>
      </w:pPr>
      <w:bookmarkStart w:id="47" w:name="_Toc232967296"/>
      <w:r>
        <w:t>9.4 Table calculée — décision de ne pas en créer</w:t>
      </w:r>
      <w:bookmarkEnd w:id="47"/>
    </w:p>
    <w:p w14:paraId="38995A71" w14:textId="77777777" w:rsidR="002E02CE" w:rsidRDefault="00000000">
      <w:pPr>
        <w:spacing w:after="160" w:line="276" w:lineRule="auto"/>
      </w:pPr>
      <w:r>
        <w:t>Aucune table calculée (de type SUMMARIZE ou CALENDAR) n'a été jugée nécessaire. DimDate couvre déjà l'intégralité de la période et porte les indicateurs métier spécifiques (SeasonLabel, IsTournamentWindow) qui n'existent que dans la table source ; une CALENDAR() DAX serait redondante et risquerait une désynchronisation avec ces indicateurs. Créer une table calculée par réflexe, sans besoin analytique réel, est une pratique à éviter.</w:t>
      </w:r>
    </w:p>
    <w:p w14:paraId="6E2F6250" w14:textId="77777777" w:rsidR="002E02CE" w:rsidRDefault="00000000">
      <w:pPr>
        <w:pStyle w:val="Titre2"/>
      </w:pPr>
      <w:bookmarkStart w:id="48" w:name="_Toc232967297"/>
      <w:r>
        <w:t>9.5 Synthèse — colonne, mesure, ou transformation Power Query ?</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2E02CE" w14:paraId="3C824197"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DB78EC" w14:textId="77777777" w:rsidR="002E02CE" w:rsidRDefault="00000000">
            <w:pPr>
              <w:jc w:val="center"/>
            </w:pPr>
            <w:r>
              <w:rPr>
                <w:b/>
                <w:bCs/>
                <w:color w:val="FFFFFF"/>
                <w:sz w:val="20"/>
                <w:szCs w:val="20"/>
              </w:rPr>
              <w:t>Besoin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BAB1E7" w14:textId="77777777" w:rsidR="002E02CE" w:rsidRDefault="00000000">
            <w:pPr>
              <w:jc w:val="center"/>
            </w:pPr>
            <w:r>
              <w:rPr>
                <w:b/>
                <w:bCs/>
                <w:color w:val="FFFFFF"/>
                <w:sz w:val="20"/>
                <w:szCs w:val="20"/>
              </w:rPr>
              <w:t>Traitement retenu</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547BF49" w14:textId="77777777" w:rsidR="002E02CE" w:rsidRDefault="00000000">
            <w:pPr>
              <w:jc w:val="center"/>
            </w:pPr>
            <w:r>
              <w:rPr>
                <w:b/>
                <w:bCs/>
                <w:color w:val="FFFFFF"/>
                <w:sz w:val="20"/>
                <w:szCs w:val="20"/>
              </w:rPr>
              <w:t>Raison</w:t>
            </w:r>
          </w:p>
        </w:tc>
      </w:tr>
      <w:tr w:rsidR="002E02CE" w14:paraId="5E01604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1B112C" w14:textId="77777777" w:rsidR="002E02CE" w:rsidRDefault="00000000">
            <w:r>
              <w:rPr>
                <w:b/>
                <w:bCs/>
                <w:color w:val="000000"/>
                <w:sz w:val="20"/>
                <w:szCs w:val="20"/>
              </w:rPr>
              <w:t>PromoType NULL → « Prix Plein »</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6EC496" w14:textId="77777777" w:rsidR="002E02CE" w:rsidRDefault="00000000">
            <w:r>
              <w:rPr>
                <w:color w:val="000000"/>
                <w:sz w:val="20"/>
                <w:szCs w:val="20"/>
              </w:rPr>
              <w:t>Power Query (M)</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789538" w14:textId="77777777" w:rsidR="002E02CE" w:rsidRDefault="00000000">
            <w:r>
              <w:rPr>
                <w:color w:val="000000"/>
                <w:sz w:val="20"/>
                <w:szCs w:val="20"/>
              </w:rPr>
              <w:t>Nettoyage de présentation, en amont du modèle.</w:t>
            </w:r>
          </w:p>
        </w:tc>
      </w:tr>
      <w:tr w:rsidR="002E02CE" w14:paraId="358B8B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87DCE" w14:textId="77777777" w:rsidR="002E02CE" w:rsidRDefault="00000000">
            <w:r>
              <w:rPr>
                <w:b/>
                <w:bCs/>
                <w:color w:val="000000"/>
                <w:sz w:val="20"/>
                <w:szCs w:val="20"/>
              </w:rPr>
              <w:t>Tranche de prix produit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5F3024" w14:textId="77777777" w:rsidR="002E02CE" w:rsidRDefault="00000000">
            <w:r>
              <w:rPr>
                <w:color w:val="000000"/>
                <w:sz w:val="20"/>
                <w:szCs w:val="20"/>
              </w:rPr>
              <w:t>Colonne calculée DAX</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68290" w14:textId="77777777" w:rsidR="002E02CE" w:rsidRDefault="00000000">
            <w:r>
              <w:rPr>
                <w:color w:val="000000"/>
                <w:sz w:val="20"/>
                <w:szCs w:val="20"/>
              </w:rPr>
              <w:t>Sert d'axe de filtre / segmentation.</w:t>
            </w:r>
          </w:p>
        </w:tc>
      </w:tr>
      <w:tr w:rsidR="002E02CE" w14:paraId="6AFFBFF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77831D" w14:textId="77777777" w:rsidR="002E02CE" w:rsidRDefault="00000000">
            <w:r>
              <w:rPr>
                <w:b/>
                <w:bCs/>
                <w:color w:val="000000"/>
                <w:sz w:val="20"/>
                <w:szCs w:val="20"/>
              </w:rPr>
              <w:t>Année d'acquisition client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EDC628" w14:textId="77777777" w:rsidR="002E02CE" w:rsidRDefault="00000000">
            <w:r>
              <w:rPr>
                <w:color w:val="000000"/>
                <w:sz w:val="20"/>
                <w:szCs w:val="20"/>
              </w:rPr>
              <w:t>Colonne calculée DAX</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D79F1D" w14:textId="77777777" w:rsidR="002E02CE" w:rsidRDefault="00000000">
            <w:r>
              <w:rPr>
                <w:color w:val="000000"/>
                <w:sz w:val="20"/>
                <w:szCs w:val="20"/>
              </w:rPr>
              <w:t>Catégorie fixe, utilisée comme axe (cohorte).</w:t>
            </w:r>
          </w:p>
        </w:tc>
      </w:tr>
      <w:tr w:rsidR="002E02CE" w14:paraId="21B268E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3B1C1" w14:textId="77777777" w:rsidR="002E02CE" w:rsidRDefault="00000000">
            <w:r>
              <w:rPr>
                <w:b/>
                <w:bCs/>
                <w:color w:val="000000"/>
                <w:sz w:val="20"/>
                <w:szCs w:val="20"/>
              </w:rPr>
              <w:t>Conversion Rate %, AOV, Growth Index</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7734D2" w14:textId="77777777" w:rsidR="002E02CE" w:rsidRDefault="00000000">
            <w:r>
              <w:rPr>
                <w:color w:val="000000"/>
                <w:sz w:val="20"/>
                <w:szCs w:val="20"/>
              </w:rPr>
              <w:t>Mesure DAX</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3231EE" w14:textId="77777777" w:rsidR="002E02CE" w:rsidRDefault="00000000">
            <w:r>
              <w:rPr>
                <w:color w:val="000000"/>
                <w:sz w:val="20"/>
                <w:szCs w:val="20"/>
              </w:rPr>
              <w:t>Résultat agrégé, dépend du contexte de filtre.</w:t>
            </w:r>
          </w:p>
        </w:tc>
      </w:tr>
    </w:tbl>
    <w:p w14:paraId="546F400E" w14:textId="77777777" w:rsidR="002E02CE" w:rsidRDefault="00000000">
      <w:pPr>
        <w:spacing w:before="60" w:after="240"/>
      </w:pPr>
      <w:r>
        <w:rPr>
          <w:i/>
          <w:iCs/>
          <w:color w:val="666666"/>
          <w:sz w:val="18"/>
          <w:szCs w:val="18"/>
        </w:rPr>
        <w:t>Tableau 10 — Synthèse des choix de traitement (colonne / mesure / Power Query).</w:t>
      </w:r>
    </w:p>
    <w:p w14:paraId="4AF946A1" w14:textId="77777777" w:rsidR="002E02CE" w:rsidRDefault="00000000">
      <w:r>
        <w:br w:type="page"/>
      </w:r>
    </w:p>
    <w:p w14:paraId="58177DC1" w14:textId="77777777" w:rsidR="002E02CE" w:rsidRDefault="00000000">
      <w:pPr>
        <w:pStyle w:val="Titre1"/>
      </w:pPr>
      <w:bookmarkStart w:id="49" w:name="_Toc232967298"/>
      <w:r>
        <w:lastRenderedPageBreak/>
        <w:t>10. Conception du rapport Power BI — structure des 5 pages</w:t>
      </w:r>
      <w:bookmarkEnd w:id="49"/>
    </w:p>
    <w:p w14:paraId="18404B34" w14:textId="77777777" w:rsidR="002E02CE" w:rsidRDefault="00000000">
      <w:pPr>
        <w:spacing w:after="160" w:line="276" w:lineRule="auto"/>
      </w:pPr>
      <w:r>
        <w:t>Principe directeur : le règlement du concours limite le rapport à cinq pages et impose que chaque visuel mérite sa place. La structure retenue rejoue la séquence analytique elle-même (temporel → facteurs → mix → saisonnalité → recommandation), de sorte que le rapport ne soit pas une liste de tableaux mais le cheminement du raisonnement. Chaque page répond à une seule question, complètement, plutôt que plusieurs questions partiellement.</w:t>
      </w:r>
    </w:p>
    <w:p w14:paraId="7591C78E" w14:textId="77777777" w:rsidR="002E02CE" w:rsidRDefault="00000000">
      <w:pPr>
        <w:pStyle w:val="Titre2"/>
      </w:pPr>
      <w:bookmarkStart w:id="50" w:name="_Toc232967299"/>
      <w:r>
        <w:t>10.1 Page 1 — Vue d'ensemble exécutive</w:t>
      </w:r>
      <w:bookmarkEnd w:id="50"/>
    </w:p>
    <w:p w14:paraId="74A17F3B" w14:textId="77777777" w:rsidR="002E02CE" w:rsidRDefault="00000000">
      <w:pPr>
        <w:spacing w:after="160" w:line="276" w:lineRule="auto"/>
      </w:pPr>
      <w:r>
        <w:t>Question : comment va l'entreprise, là, maintenant ?</w:t>
      </w:r>
    </w:p>
    <w:p w14:paraId="729AE2F5" w14:textId="77777777" w:rsidR="002E02CE" w:rsidRDefault="00000000">
      <w:pPr>
        <w:pStyle w:val="Paragraphedeliste"/>
        <w:numPr>
          <w:ilvl w:val="0"/>
          <w:numId w:val="2"/>
        </w:numPr>
        <w:spacing w:after="100" w:line="276" w:lineRule="auto"/>
      </w:pPr>
      <w:r>
        <w:t>KPI cards : Net Revenue, Total Profit, Profit Margin %, Conversion Rate %, Total Orders.</w:t>
      </w:r>
    </w:p>
    <w:p w14:paraId="3B01B9D4" w14:textId="77777777" w:rsidR="002E02CE" w:rsidRDefault="00000000">
      <w:pPr>
        <w:pStyle w:val="Paragraphedeliste"/>
        <w:numPr>
          <w:ilvl w:val="0"/>
          <w:numId w:val="2"/>
        </w:numPr>
        <w:spacing w:after="100" w:line="276" w:lineRule="auto"/>
      </w:pPr>
      <w:r>
        <w:t>Graphique principal : courbe Net Revenue par mois (2021–2025), avec bandes visuelles sur les fenêtres tournois / Kit Launch Season.</w:t>
      </w:r>
    </w:p>
    <w:p w14:paraId="4C42D85A" w14:textId="77777777" w:rsidR="002E02CE" w:rsidRDefault="00000000">
      <w:pPr>
        <w:pStyle w:val="Paragraphedeliste"/>
        <w:numPr>
          <w:ilvl w:val="0"/>
          <w:numId w:val="2"/>
        </w:numPr>
        <w:spacing w:after="100" w:line="276" w:lineRule="auto"/>
      </w:pPr>
      <w:r>
        <w:t>Filtres globaux communs à tout le rapport : Année, MacroRegion, Channel.</w:t>
      </w:r>
    </w:p>
    <w:p w14:paraId="3B72C279" w14:textId="77777777" w:rsidR="002E02CE" w:rsidRDefault="00000000">
      <w:pPr>
        <w:spacing w:after="160" w:line="276" w:lineRule="auto"/>
      </w:pPr>
      <w:r>
        <w:t>Décision actée : la page reste strictement centrée sur la performance temporelle globale, sans aperçu anticipé du diagnostic régional — un teaser sans contexte complet risquerait de faire réagir le lecteur à un fragment d'information plutôt qu'à une preuve complète, à l'inverse de l'exigence de profondeur fiable formulée par le brief.</w:t>
      </w:r>
    </w:p>
    <w:p w14:paraId="3C9B6443" w14:textId="77777777" w:rsidR="002E02CE" w:rsidRDefault="00000000">
      <w:pPr>
        <w:pStyle w:val="Titre2"/>
      </w:pPr>
      <w:bookmarkStart w:id="51" w:name="_Toc232967300"/>
      <w:r>
        <w:t>10.2 Page 2 — Diagnostic Facteurs (cœur de la thèse)</w:t>
      </w:r>
      <w:bookmarkEnd w:id="51"/>
    </w:p>
    <w:p w14:paraId="3062430B" w14:textId="77777777" w:rsidR="002E02CE" w:rsidRDefault="00000000">
      <w:pPr>
        <w:spacing w:after="160" w:line="276" w:lineRule="auto"/>
      </w:pPr>
      <w:r>
        <w:t>Question : le revenu croît — mais pourquoi ? Trafic, conversion ou panier moyen ?</w:t>
      </w:r>
    </w:p>
    <w:p w14:paraId="44B2DBA1" w14:textId="77777777" w:rsidR="002E02CE" w:rsidRDefault="00000000">
      <w:pPr>
        <w:pStyle w:val="Paragraphedeliste"/>
        <w:numPr>
          <w:ilvl w:val="0"/>
          <w:numId w:val="2"/>
        </w:numPr>
        <w:spacing w:after="100" w:line="276" w:lineRule="auto"/>
      </w:pPr>
      <w:r>
        <w:t>KPI cards comparatives : Sessions Growth Index 2021→2025, Conversion Rate (stable), AOV Growth.</w:t>
      </w:r>
    </w:p>
    <w:p w14:paraId="1CA09924" w14:textId="77777777" w:rsidR="002E02CE" w:rsidRDefault="00000000">
      <w:pPr>
        <w:pStyle w:val="Paragraphedeliste"/>
        <w:numPr>
          <w:ilvl w:val="0"/>
          <w:numId w:val="2"/>
        </w:numPr>
        <w:spacing w:after="100" w:line="276" w:lineRule="auto"/>
      </w:pPr>
      <w:r>
        <w:t>Visuel clé : graphique combiné barres (Sessions) + ligne (Conversion Rate %) sur deux axes Y — voir détail en section 10.6.</w:t>
      </w:r>
    </w:p>
    <w:p w14:paraId="581FB1E6" w14:textId="77777777" w:rsidR="002E02CE" w:rsidRDefault="00000000">
      <w:pPr>
        <w:pStyle w:val="Paragraphedeliste"/>
        <w:numPr>
          <w:ilvl w:val="0"/>
          <w:numId w:val="2"/>
        </w:numPr>
        <w:spacing w:after="100" w:line="276" w:lineRule="auto"/>
      </w:pPr>
      <w:r>
        <w:t>Décomposition indexée base 100 (Sessions / ConvRate / AOV) reproduisant le tableau 5.</w:t>
      </w:r>
    </w:p>
    <w:p w14:paraId="52F8AAC2" w14:textId="77777777" w:rsidR="002E02CE" w:rsidRDefault="00000000">
      <w:pPr>
        <w:pStyle w:val="Paragraphedeliste"/>
        <w:numPr>
          <w:ilvl w:val="0"/>
          <w:numId w:val="2"/>
        </w:numPr>
        <w:spacing w:after="100" w:line="276" w:lineRule="auto"/>
      </w:pPr>
      <w:r>
        <w:t>Zone de texte d'insight : « Le trafic explique +38 % de croissance ; la conversion n'a pas varié depuis 5 ans ».</w:t>
      </w:r>
    </w:p>
    <w:p w14:paraId="28BBA507" w14:textId="77777777" w:rsidR="002E02CE" w:rsidRDefault="00000000">
      <w:pPr>
        <w:pStyle w:val="Titre2"/>
      </w:pPr>
      <w:bookmarkStart w:id="52" w:name="_Toc232967301"/>
      <w:r>
        <w:t>10.3 Page 3 — Diagnostic régional</w:t>
      </w:r>
      <w:bookmarkEnd w:id="52"/>
    </w:p>
    <w:p w14:paraId="41B6BB22" w14:textId="77777777" w:rsidR="002E02CE" w:rsidRDefault="00000000">
      <w:pPr>
        <w:spacing w:after="160" w:line="276" w:lineRule="auto"/>
      </w:pPr>
      <w:r>
        <w:t>Question : quels marchés méritent un focus, et pourquoi ?</w:t>
      </w:r>
    </w:p>
    <w:p w14:paraId="1A35ED08" w14:textId="77777777" w:rsidR="002E02CE" w:rsidRDefault="00000000">
      <w:pPr>
        <w:pStyle w:val="Paragraphedeliste"/>
        <w:numPr>
          <w:ilvl w:val="0"/>
          <w:numId w:val="2"/>
        </w:numPr>
        <w:spacing w:after="100" w:line="276" w:lineRule="auto"/>
      </w:pPr>
      <w:r>
        <w:t>Carte ou diagramme à barres par pays : mesure Revenue vs Traffic Gap 2021-2025, code couleur vert / rouge.</w:t>
      </w:r>
    </w:p>
    <w:p w14:paraId="21D3120B" w14:textId="77777777" w:rsidR="002E02CE" w:rsidRDefault="00000000">
      <w:pPr>
        <w:pStyle w:val="Paragraphedeliste"/>
        <w:numPr>
          <w:ilvl w:val="0"/>
          <w:numId w:val="2"/>
        </w:numPr>
        <w:spacing w:after="100" w:line="276" w:lineRule="auto"/>
      </w:pPr>
      <w:r>
        <w:t>Tableau de détail triable : Country × Sessions Growth × AOV Growth × Revenue Growth — la preuve derrière la carte.</w:t>
      </w:r>
    </w:p>
    <w:p w14:paraId="3967E412" w14:textId="77777777" w:rsidR="002E02CE" w:rsidRDefault="00000000">
      <w:pPr>
        <w:pStyle w:val="Paragraphedeliste"/>
        <w:numPr>
          <w:ilvl w:val="0"/>
          <w:numId w:val="2"/>
        </w:numPr>
        <w:spacing w:after="100" w:line="276" w:lineRule="auto"/>
      </w:pPr>
      <w:r>
        <w:lastRenderedPageBreak/>
        <w:t>Diagramme à barres empilées à 100 % : mix Category par pays (DE / US / BR / UK) — démontre que l'hypothèse « mix produit » a été testée et écartée, ce qui renforce la crédibilité de la recommandation finale.</w:t>
      </w:r>
    </w:p>
    <w:p w14:paraId="61A56998" w14:textId="77777777" w:rsidR="002E02CE" w:rsidRDefault="00000000">
      <w:pPr>
        <w:pStyle w:val="Titre2"/>
      </w:pPr>
      <w:bookmarkStart w:id="53" w:name="_Toc232967302"/>
      <w:r>
        <w:t>10.4 Page 4 — Diagnostic saisonnier</w:t>
      </w:r>
      <w:bookmarkEnd w:id="53"/>
    </w:p>
    <w:p w14:paraId="21D0CB01" w14:textId="77777777" w:rsidR="002E02CE" w:rsidRDefault="00000000">
      <w:pPr>
        <w:spacing w:after="160" w:line="276" w:lineRule="auto"/>
      </w:pPr>
      <w:r>
        <w:t>Question : les tournois sont-ils vraiment le driver qu'on pensait ?</w:t>
      </w:r>
    </w:p>
    <w:p w14:paraId="6208B695" w14:textId="77777777" w:rsidR="002E02CE" w:rsidRDefault="00000000">
      <w:pPr>
        <w:pStyle w:val="Paragraphedeliste"/>
        <w:numPr>
          <w:ilvl w:val="0"/>
          <w:numId w:val="2"/>
        </w:numPr>
        <w:spacing w:after="100" w:line="276" w:lineRule="auto"/>
      </w:pPr>
      <w:r>
        <w:t>Diagramme à barres horizontal : revenu par jour par SeasonLabel, trié décroissant.</w:t>
      </w:r>
    </w:p>
    <w:p w14:paraId="03516E70" w14:textId="77777777" w:rsidR="002E02CE" w:rsidRDefault="00000000">
      <w:pPr>
        <w:pStyle w:val="Paragraphedeliste"/>
        <w:numPr>
          <w:ilvl w:val="0"/>
          <w:numId w:val="2"/>
        </w:numPr>
        <w:spacing w:after="100" w:line="276" w:lineRule="auto"/>
      </w:pPr>
      <w:r>
        <w:t>Barres groupées : Sessions/jour vs AOV par saison — montre que Kit Launch Season combine trafic et valeur, contrairement aux tournois (trafic seul).</w:t>
      </w:r>
    </w:p>
    <w:p w14:paraId="66067F46" w14:textId="77777777" w:rsidR="002E02CE" w:rsidRDefault="00000000">
      <w:pPr>
        <w:pStyle w:val="Paragraphedeliste"/>
        <w:numPr>
          <w:ilvl w:val="0"/>
          <w:numId w:val="2"/>
        </w:numPr>
        <w:spacing w:after="100" w:line="276" w:lineRule="auto"/>
      </w:pPr>
      <w:r>
        <w:t>Zone de texte : « Les tournois amplifient le trafic ; Kit Launch Season est le seul moment qui combine trafic et valeur — et il revient chaque année ».</w:t>
      </w:r>
    </w:p>
    <w:p w14:paraId="224D904D" w14:textId="77777777" w:rsidR="002E02CE" w:rsidRDefault="00000000">
      <w:pPr>
        <w:pStyle w:val="Titre2"/>
      </w:pPr>
      <w:bookmarkStart w:id="54" w:name="_Toc232967303"/>
      <w:r>
        <w:t>10.5 Page 5 — Recommandations stratégiques</w:t>
      </w:r>
      <w:bookmarkEnd w:id="54"/>
    </w:p>
    <w:p w14:paraId="14A5ABB9" w14:textId="77777777" w:rsidR="002E02CE" w:rsidRDefault="00000000">
      <w:pPr>
        <w:spacing w:after="160" w:line="276" w:lineRule="auto"/>
      </w:pPr>
      <w:r>
        <w:t>Question : et maintenant, qu'est-ce qu'on fait ?</w:t>
      </w:r>
    </w:p>
    <w:p w14:paraId="32B99234" w14:textId="77777777" w:rsidR="002E02CE" w:rsidRDefault="00000000">
      <w:pPr>
        <w:pStyle w:val="Paragraphedeliste"/>
        <w:numPr>
          <w:ilvl w:val="0"/>
          <w:numId w:val="2"/>
        </w:numPr>
        <w:spacing w:after="100" w:line="276" w:lineRule="auto"/>
      </w:pPr>
      <w:r>
        <w:t>Trois blocs visuels scannables, un par recommandation (Conversion / Marchés à tester / Calendrier Kit Launch).</w:t>
      </w:r>
    </w:p>
    <w:p w14:paraId="142A9EFF" w14:textId="77777777" w:rsidR="002E02CE" w:rsidRDefault="00000000">
      <w:pPr>
        <w:pStyle w:val="Paragraphedeliste"/>
        <w:numPr>
          <w:ilvl w:val="0"/>
          <w:numId w:val="2"/>
        </w:numPr>
        <w:spacing w:after="100" w:line="276" w:lineRule="auto"/>
      </w:pPr>
      <w:r>
        <w:t>Pas de nouveau graphique de données brutes sur cette page — c'est une synthèse, pas une nouvelle analyse.</w:t>
      </w:r>
    </w:p>
    <w:p w14:paraId="422268C4" w14:textId="77777777" w:rsidR="002E02CE" w:rsidRDefault="00000000">
      <w:pPr>
        <w:pStyle w:val="Paragraphedeliste"/>
        <w:numPr>
          <w:ilvl w:val="0"/>
          <w:numId w:val="2"/>
        </w:numPr>
        <w:spacing w:after="100" w:line="276" w:lineRule="auto"/>
      </w:pPr>
      <w:r>
        <w:t>Référence discrète vers les pages-preuve (ex. « Voir page 2 ») sous chaque recommandation, pour maintenir la traçabilité sans surcharger la page.</w:t>
      </w:r>
    </w:p>
    <w:p w14:paraId="3D19EFA9" w14:textId="77777777" w:rsidR="002E02CE" w:rsidRDefault="00000000">
      <w:pPr>
        <w:pStyle w:val="Titre2"/>
      </w:pPr>
      <w:bookmarkStart w:id="55" w:name="_Toc232967304"/>
      <w:r>
        <w:t>10.6 Le visuel le plus important du rapport</w:t>
      </w:r>
      <w:bookmarkEnd w:id="55"/>
    </w:p>
    <w:p w14:paraId="270BF2AC" w14:textId="77777777" w:rsidR="002E02CE" w:rsidRDefault="00000000">
      <w:pPr>
        <w:spacing w:after="160" w:line="276" w:lineRule="auto"/>
      </w:pPr>
      <w:r>
        <w:t>Le graphique combiné Sessions (barres) / Conversion Rate % (ligne) de la page 2 porte, à lui seul, la thèse contre-intuitive du rapport. Réglages retenus :</w:t>
      </w:r>
    </w:p>
    <w:p w14:paraId="106986E1" w14:textId="77777777" w:rsidR="002E02CE" w:rsidRDefault="00000000">
      <w:pPr>
        <w:pStyle w:val="Paragraphedeliste"/>
        <w:numPr>
          <w:ilvl w:val="0"/>
          <w:numId w:val="2"/>
        </w:numPr>
        <w:spacing w:after="100" w:line="276" w:lineRule="auto"/>
      </w:pPr>
      <w:r>
        <w:t>Axe X : DimDate[YearMonth].</w:t>
      </w:r>
    </w:p>
    <w:p w14:paraId="3B6829C6" w14:textId="77777777" w:rsidR="002E02CE" w:rsidRDefault="00000000">
      <w:pPr>
        <w:pStyle w:val="Paragraphedeliste"/>
        <w:numPr>
          <w:ilvl w:val="0"/>
          <w:numId w:val="2"/>
        </w:numPr>
        <w:spacing w:after="100" w:line="276" w:lineRule="auto"/>
      </w:pPr>
      <w:r>
        <w:t>Axe Y gauche (colonnes) : mesure Total Sessions.</w:t>
      </w:r>
    </w:p>
    <w:p w14:paraId="26176813" w14:textId="77777777" w:rsidR="002E02CE" w:rsidRDefault="00000000">
      <w:pPr>
        <w:pStyle w:val="Paragraphedeliste"/>
        <w:numPr>
          <w:ilvl w:val="0"/>
          <w:numId w:val="2"/>
        </w:numPr>
        <w:spacing w:after="100" w:line="276" w:lineRule="auto"/>
      </w:pPr>
      <w:r>
        <w:t>Axe Y droit (ligne) : mesure Conversion Rate %, avec bornes manuelles fixées (0 % à 5 %) plutôt qu'une échelle automatique — sans ce réglage, Power BI risquerait de zoomer sur la faible variation réelle (2,99 % à 3,01 %) et de faire paraître la ligne moins plate qu'elle ne l'est, exagérant un bruit statistique.</w:t>
      </w:r>
    </w:p>
    <w:p w14:paraId="6B005DE4" w14:textId="77777777" w:rsidR="002E02CE" w:rsidRDefault="00000000">
      <w:pPr>
        <w:pStyle w:val="Paragraphedeliste"/>
        <w:numPr>
          <w:ilvl w:val="0"/>
          <w:numId w:val="2"/>
        </w:numPr>
        <w:spacing w:after="100" w:line="276" w:lineRule="auto"/>
      </w:pPr>
      <w:r>
        <w:t>Couleurs : barres en teinte neutre (gris-bleu), ligne en couleur contrastante (rouge ou orange) pour attirer l'œil sur la preuve de l'inertie de conversion.</w:t>
      </w:r>
    </w:p>
    <w:p w14:paraId="081EEE7D" w14:textId="77777777" w:rsidR="002E02CE" w:rsidRDefault="00000000">
      <w:pPr>
        <w:pStyle w:val="Paragraphedeliste"/>
        <w:numPr>
          <w:ilvl w:val="0"/>
          <w:numId w:val="2"/>
        </w:numPr>
        <w:spacing w:after="100" w:line="276" w:lineRule="auto"/>
      </w:pPr>
      <w:r>
        <w:t>Titre porteur d'insight plutôt que descriptif : « Le trafic double, la conversion ne bouge pas » plutôt que « Sessions et Conversion Rate ».</w:t>
      </w:r>
    </w:p>
    <w:p w14:paraId="25AFF23A" w14:textId="77777777" w:rsidR="002E02CE" w:rsidRDefault="00000000">
      <w:pPr>
        <w:pStyle w:val="Titre2"/>
      </w:pPr>
      <w:bookmarkStart w:id="56" w:name="_Toc232967305"/>
      <w:r>
        <w:t>10.7 Exigences d'accessibilité (obligatoires, non optionnelles)</w:t>
      </w:r>
      <w:bookmarkEnd w:id="56"/>
    </w:p>
    <w:p w14:paraId="69EC531D" w14:textId="77777777" w:rsidR="002E02CE" w:rsidRDefault="00000000">
      <w:pPr>
        <w:pStyle w:val="Paragraphedeliste"/>
        <w:numPr>
          <w:ilvl w:val="0"/>
          <w:numId w:val="2"/>
        </w:numPr>
        <w:spacing w:after="100" w:line="276" w:lineRule="auto"/>
      </w:pPr>
      <w:r>
        <w:t>Titre explicite en langage humain pour chaque visuel — jamais un nom technique par défaut.</w:t>
      </w:r>
    </w:p>
    <w:p w14:paraId="2A3D7AA5" w14:textId="77777777" w:rsidR="002E02CE" w:rsidRDefault="00000000">
      <w:pPr>
        <w:pStyle w:val="Paragraphedeliste"/>
        <w:numPr>
          <w:ilvl w:val="0"/>
          <w:numId w:val="2"/>
        </w:numPr>
        <w:spacing w:after="100" w:line="276" w:lineRule="auto"/>
      </w:pPr>
      <w:r>
        <w:lastRenderedPageBreak/>
        <w:t>Texte alternatif décrivant l'insight, pas seulement le type de graphique (ex. : « Ce graphique montre une croissance de 38 % du trafic entre 2021 et 2025, tandis que le taux de conversion reste stable autour de 3 % »).</w:t>
      </w:r>
    </w:p>
    <w:p w14:paraId="1396D021" w14:textId="77777777" w:rsidR="002E02CE" w:rsidRDefault="00000000">
      <w:pPr>
        <w:pStyle w:val="Paragraphedeliste"/>
        <w:numPr>
          <w:ilvl w:val="0"/>
          <w:numId w:val="2"/>
        </w:numPr>
        <w:spacing w:after="100" w:line="276" w:lineRule="auto"/>
      </w:pPr>
      <w:r>
        <w:t>Contraste marqué entre les couleurs ; ne jamais coder une information uniquement par la couleur (prévoir une icône ou un texte en complément du vert/rouge pour l'accessibilité daltonisme).</w:t>
      </w:r>
    </w:p>
    <w:p w14:paraId="1BBB40B5" w14:textId="77777777" w:rsidR="002E02CE" w:rsidRDefault="00000000">
      <w:pPr>
        <w:pStyle w:val="Paragraphedeliste"/>
        <w:numPr>
          <w:ilvl w:val="0"/>
          <w:numId w:val="2"/>
        </w:numPr>
        <w:spacing w:after="100" w:line="276" w:lineRule="auto"/>
      </w:pPr>
      <w:r>
        <w:t>Ordre de lecture / tabulation logique, vérifié dans le volet Sélection de Power BI.</w:t>
      </w:r>
    </w:p>
    <w:p w14:paraId="79AE1480" w14:textId="77777777" w:rsidR="002E02CE" w:rsidRDefault="00000000">
      <w:r>
        <w:br w:type="page"/>
      </w:r>
    </w:p>
    <w:p w14:paraId="26556DE9" w14:textId="77777777" w:rsidR="002E02CE" w:rsidRDefault="00000000">
      <w:pPr>
        <w:pStyle w:val="Titre1"/>
      </w:pPr>
      <w:bookmarkStart w:id="57" w:name="_Toc232967306"/>
      <w:r>
        <w:lastRenderedPageBreak/>
        <w:t>11. Data storytelling — script de présentation exécutive</w:t>
      </w:r>
      <w:bookmarkEnd w:id="57"/>
    </w:p>
    <w:p w14:paraId="36663D6A" w14:textId="77777777" w:rsidR="002E02CE" w:rsidRDefault="00000000">
      <w:pPr>
        <w:spacing w:after="160" w:line="276" w:lineRule="auto"/>
      </w:pPr>
      <w:r>
        <w:t>Script rédigé pour une présentation orale de 3 à 4 minutes maximum devant un comité de direction, dans l'ordre où l'argumentation doit être délivrée.</w:t>
      </w:r>
    </w:p>
    <w:p w14:paraId="0B4EE713" w14:textId="77777777" w:rsidR="002E02CE" w:rsidRDefault="00000000">
      <w:pPr>
        <w:pStyle w:val="Titre3"/>
      </w:pPr>
      <w:bookmarkStart w:id="58" w:name="_Toc232967307"/>
      <w:r>
        <w:t>Ouverture (10 secondes)</w:t>
      </w:r>
      <w:bookmarkEnd w:id="58"/>
    </w:p>
    <w:p w14:paraId="6D037607" w14:textId="77777777" w:rsidR="002E02CE" w:rsidRDefault="00000000">
      <w:pPr>
        <w:pBdr>
          <w:left w:val="single" w:sz="18" w:space="8" w:color="1F3864"/>
        </w:pBdr>
        <w:shd w:val="clear" w:color="auto" w:fill="F2F2F2"/>
        <w:spacing w:before="120" w:after="200" w:line="276" w:lineRule="auto"/>
        <w:ind w:left="360"/>
      </w:pPr>
      <w:r>
        <w:rPr>
          <w:i/>
          <w:iCs/>
          <w:color w:val="333333"/>
        </w:rPr>
        <w:t>« Sur les 5 dernières années, notre chiffre d'affaires a progressé de 43 %. La bonne nouvelle s'arrête presque là — parce que la vraie question n'est pas ‘est-ce qu'on a grandi’, c'est ‘comment’, et la réponse va changer où on doit investir l'année prochaine. »</w:t>
      </w:r>
    </w:p>
    <w:p w14:paraId="38D3D83D" w14:textId="77777777" w:rsidR="002E02CE" w:rsidRDefault="00000000">
      <w:pPr>
        <w:pStyle w:val="Titre3"/>
      </w:pPr>
      <w:bookmarkStart w:id="59" w:name="_Toc232967308"/>
      <w:r>
        <w:t>Le constat central (30 secondes)</w:t>
      </w:r>
      <w:bookmarkEnd w:id="59"/>
    </w:p>
    <w:p w14:paraId="321B7301" w14:textId="77777777" w:rsidR="002E02CE" w:rsidRDefault="00000000">
      <w:pPr>
        <w:pBdr>
          <w:left w:val="single" w:sz="18" w:space="8" w:color="1F3864"/>
        </w:pBdr>
        <w:shd w:val="clear" w:color="auto" w:fill="F2F2F2"/>
        <w:spacing w:before="120" w:after="200" w:line="276" w:lineRule="auto"/>
        <w:ind w:left="360"/>
      </w:pPr>
      <w:r>
        <w:rPr>
          <w:i/>
          <w:iCs/>
          <w:color w:val="333333"/>
        </w:rPr>
        <w:t>« Toute cette croissance vient d'un seul endroit : le trafic. On a fait venir 38 % de visiteurs en plus sur le site, sur les 5 ans. Mais une fois ces visiteurs arrivés, on les convertit exactement aussi bien qu'en 2021 — ni mieux, ni moins bien. Le taux de conversion est resté collé à 3 %, à la décimale près, chaque année, dans chaque pays, sur chaque canal. On l'a vérifié huit fois différentes — jamais une exception. »</w:t>
      </w:r>
    </w:p>
    <w:p w14:paraId="6217B4D8" w14:textId="77777777" w:rsidR="002E02CE" w:rsidRDefault="00000000">
      <w:pPr>
        <w:pStyle w:val="Titre3"/>
      </w:pPr>
      <w:bookmarkStart w:id="60" w:name="_Toc232967309"/>
      <w:r>
        <w:t>Pourquoi ce n'est pas un détail technique (20 secondes)</w:t>
      </w:r>
      <w:bookmarkEnd w:id="60"/>
    </w:p>
    <w:p w14:paraId="4281A73F" w14:textId="77777777" w:rsidR="002E02CE" w:rsidRDefault="00000000">
      <w:pPr>
        <w:pBdr>
          <w:left w:val="single" w:sz="18" w:space="8" w:color="1F3864"/>
        </w:pBdr>
        <w:shd w:val="clear" w:color="auto" w:fill="F2F2F2"/>
        <w:spacing w:before="120" w:after="200" w:line="276" w:lineRule="auto"/>
        <w:ind w:left="360"/>
      </w:pPr>
      <w:r>
        <w:rPr>
          <w:i/>
          <w:iCs/>
          <w:color w:val="333333"/>
        </w:rPr>
        <w:t>« Concrètement, ça veut dire qu'on a un excellent moteur d'acquisition et un entonnoir de vente qui n'a pas progressé d'un seul point depuis cinq ans, malgré près du double de trafic. Ce n'est pas un problème caché — c'est une réserve de croissance qu'on n'a jamais activée. »</w:t>
      </w:r>
    </w:p>
    <w:p w14:paraId="02FA017E" w14:textId="77777777" w:rsidR="002E02CE" w:rsidRDefault="00000000">
      <w:pPr>
        <w:pStyle w:val="Titre3"/>
      </w:pPr>
      <w:bookmarkStart w:id="61" w:name="_Toc232967310"/>
      <w:r>
        <w:t>Le contre-exemple qui aurait pu tromper l'analyse (20 secondes)</w:t>
      </w:r>
      <w:bookmarkEnd w:id="61"/>
    </w:p>
    <w:p w14:paraId="4C17FDF0" w14:textId="77777777" w:rsidR="002E02CE" w:rsidRDefault="00000000">
      <w:pPr>
        <w:pBdr>
          <w:left w:val="single" w:sz="18" w:space="8" w:color="1F3864"/>
        </w:pBdr>
        <w:shd w:val="clear" w:color="auto" w:fill="F2F2F2"/>
        <w:spacing w:before="120" w:after="200" w:line="276" w:lineRule="auto"/>
        <w:ind w:left="360"/>
      </w:pPr>
      <w:r>
        <w:rPr>
          <w:i/>
          <w:iCs/>
          <w:color w:val="333333"/>
        </w:rPr>
        <w:t>« On s'attendait à ce que les grands tournois — la Coupe du Monde, l'Euro — soient le vrai moteur. Ils comptent, mais ils suivent exactement le même mécanisme : ils amènent plus de visiteurs, pas une meilleure conversion. Le seul moment de l'année où le panier moyen progresse aussi, c'est la sortie des nouveaux maillots en août — pas les tournois sportifs. »</w:t>
      </w:r>
    </w:p>
    <w:p w14:paraId="4F75BEC0" w14:textId="77777777" w:rsidR="002E02CE" w:rsidRDefault="00000000">
      <w:pPr>
        <w:pStyle w:val="Titre3"/>
      </w:pPr>
      <w:bookmarkStart w:id="62" w:name="_Toc232967311"/>
      <w:r>
        <w:t>Le signal régional, avec honnêteté sur ses limites (20 secondes)</w:t>
      </w:r>
      <w:bookmarkEnd w:id="62"/>
    </w:p>
    <w:p w14:paraId="73239F11" w14:textId="77777777" w:rsidR="002E02CE" w:rsidRDefault="00000000">
      <w:pPr>
        <w:pBdr>
          <w:left w:val="single" w:sz="18" w:space="8" w:color="1F3864"/>
        </w:pBdr>
        <w:shd w:val="clear" w:color="auto" w:fill="F2F2F2"/>
        <w:spacing w:before="120" w:after="200" w:line="276" w:lineRule="auto"/>
        <w:ind w:left="360"/>
      </w:pPr>
      <w:r>
        <w:rPr>
          <w:i/>
          <w:iCs/>
          <w:color w:val="333333"/>
        </w:rPr>
        <w:t>« Sur le plan géographique, trois marchés — Allemagne, États-Unis, Brésil — vendent un panier moyen en croissance régulière, à mix produit et pression promotionnelle strictement identiques aux autres pays. On n'a pas encore isolé pourquoi. C'est une piste à investiguer avant d'agir, pas encore une certitude. »</w:t>
      </w:r>
    </w:p>
    <w:p w14:paraId="389A4EC8" w14:textId="77777777" w:rsidR="002E02CE" w:rsidRDefault="00000000">
      <w:pPr>
        <w:pStyle w:val="Titre3"/>
      </w:pPr>
      <w:bookmarkStart w:id="63" w:name="_Toc232967312"/>
      <w:r>
        <w:t>Les trois recommandations (45 secondes)</w:t>
      </w:r>
      <w:bookmarkEnd w:id="63"/>
    </w:p>
    <w:p w14:paraId="12CD0F06" w14:textId="77777777" w:rsidR="002E02CE" w:rsidRDefault="00000000">
      <w:pPr>
        <w:pBdr>
          <w:left w:val="single" w:sz="18" w:space="8" w:color="1F3864"/>
        </w:pBdr>
        <w:shd w:val="clear" w:color="auto" w:fill="F2F2F2"/>
        <w:spacing w:before="120" w:after="200" w:line="276" w:lineRule="auto"/>
        <w:ind w:left="360"/>
      </w:pPr>
      <w:r>
        <w:rPr>
          <w:i/>
          <w:iCs/>
          <w:color w:val="333333"/>
        </w:rPr>
        <w:t xml:space="preserve">« Trois recommandations, par ordre de priorité : Un — investir dans l'optimisation de la conversion avant d'investir davantage en acquisition. Un gain de seulement 0,3 à 0,5 point de conversion, à trafic constant, vaut plus que continuer à pousser du trafic vers un entonnoir qui n'a pas bougé en 5 ans. Deux — investiguer en priorité l'Allemagne, les États-Unis et le Brésil pour comprendre ce qui fait progresser leur panier moyen, avant de décider si c'est reproductible ailleurs. Trois — recalibrer le calendrier marketing autour du lancement des maillots en août, pas uniquement autour des tournois sportifs — c'est le seul moment </w:t>
      </w:r>
      <w:r>
        <w:rPr>
          <w:i/>
          <w:iCs/>
          <w:color w:val="333333"/>
        </w:rPr>
        <w:lastRenderedPageBreak/>
        <w:t>de l'année qui combine plus de trafic et plus de valeur, et il revient chaque année, contrairement aux tournois. »</w:t>
      </w:r>
    </w:p>
    <w:p w14:paraId="5FC60DC7" w14:textId="77777777" w:rsidR="002E02CE" w:rsidRDefault="00000000">
      <w:pPr>
        <w:pStyle w:val="Titre3"/>
      </w:pPr>
      <w:bookmarkStart w:id="64" w:name="_Toc232967313"/>
      <w:r>
        <w:t>Clôture — la punchline (10 secondes)</w:t>
      </w:r>
      <w:bookmarkEnd w:id="64"/>
    </w:p>
    <w:p w14:paraId="4C0B78C3" w14:textId="77777777" w:rsidR="002E02CE" w:rsidRDefault="00000000">
      <w:pPr>
        <w:pBdr>
          <w:left w:val="single" w:sz="18" w:space="8" w:color="1F3864"/>
        </w:pBdr>
        <w:shd w:val="clear" w:color="auto" w:fill="F2F2F2"/>
        <w:spacing w:before="120" w:after="200" w:line="276" w:lineRule="auto"/>
        <w:ind w:left="360"/>
      </w:pPr>
      <w:r>
        <w:rPr>
          <w:i/>
          <w:iCs/>
          <w:color w:val="333333"/>
        </w:rPr>
        <w:t>« En résumé : on sait acquérir. La marge de progression est dans la conversion, pas dans le trafic. »</w:t>
      </w:r>
    </w:p>
    <w:p w14:paraId="6F24B923" w14:textId="77777777" w:rsidR="002E02CE" w:rsidRDefault="00000000">
      <w:pPr>
        <w:spacing w:after="160" w:line="276" w:lineRule="auto"/>
      </w:pPr>
      <w:r>
        <w:t>Cette dernière phrase est la phrase de sortie volontaire — celle qu'un dirigeant doit retenir en quittant la salle, résumant l'intégralité de l'analyse en une ligne.</w:t>
      </w:r>
    </w:p>
    <w:p w14:paraId="6EDF6DEC" w14:textId="77777777" w:rsidR="002E02CE" w:rsidRDefault="00000000">
      <w:r>
        <w:br w:type="page"/>
      </w:r>
    </w:p>
    <w:p w14:paraId="0C88DA78" w14:textId="77777777" w:rsidR="002E02CE" w:rsidRDefault="00000000">
      <w:pPr>
        <w:pStyle w:val="Titre1"/>
      </w:pPr>
      <w:bookmarkStart w:id="65" w:name="_Toc232967314"/>
      <w:r>
        <w:lastRenderedPageBreak/>
        <w:t>12. Guide méthodologique réutilisable</w:t>
      </w:r>
      <w:bookmarkEnd w:id="65"/>
    </w:p>
    <w:p w14:paraId="7931D813" w14:textId="77777777" w:rsidR="002E02CE" w:rsidRDefault="00000000">
      <w:pPr>
        <w:spacing w:after="160" w:line="276" w:lineRule="auto"/>
      </w:pPr>
      <w:r>
        <w:t>Cette dernière section extrait les principes de méthode appliqués durant ce projet, indépendamment du jeu de données PitchSide Pro, pour servir de check-list sur de futurs projets Power BI / Business Intelligence.</w:t>
      </w:r>
    </w:p>
    <w:p w14:paraId="083B50BC" w14:textId="77777777" w:rsidR="002E02CE" w:rsidRDefault="00000000">
      <w:pPr>
        <w:pStyle w:val="Titre2"/>
      </w:pPr>
      <w:bookmarkStart w:id="66" w:name="_Toc232967315"/>
      <w:r>
        <w:t>12.1 Démarche analytique</w:t>
      </w:r>
      <w:bookmarkEnd w:id="66"/>
    </w:p>
    <w:p w14:paraId="6694EB46" w14:textId="77777777" w:rsidR="002E02CE" w:rsidRDefault="00000000">
      <w:pPr>
        <w:pStyle w:val="Paragraphedeliste"/>
        <w:numPr>
          <w:ilvl w:val="0"/>
          <w:numId w:val="3"/>
        </w:numPr>
        <w:spacing w:after="100" w:line="276" w:lineRule="auto"/>
      </w:pPr>
      <w:r>
        <w:t>Toujours regarder les données avant de faire confiance aux noms de colonnes ou à un résumé — un dictionnaire de données ne remplace pas l'inspection réelle des valeurs.</w:t>
      </w:r>
    </w:p>
    <w:p w14:paraId="7A12D85C" w14:textId="77777777" w:rsidR="002E02CE" w:rsidRDefault="00000000">
      <w:pPr>
        <w:pStyle w:val="Paragraphedeliste"/>
        <w:numPr>
          <w:ilvl w:val="0"/>
          <w:numId w:val="3"/>
        </w:numPr>
        <w:spacing w:after="100" w:line="276" w:lineRule="auto"/>
      </w:pPr>
      <w:r>
        <w:t>Nommer explicitement l'hypothèse intuitive de départ avant de l'analyser, pour pouvoir consciemment la confirmer ou l'écarter — éviter le biais de confirmation qui consisterait à construire l'analyse autour d'elle par défaut.</w:t>
      </w:r>
    </w:p>
    <w:p w14:paraId="40032BE5" w14:textId="77777777" w:rsidR="002E02CE" w:rsidRDefault="00000000">
      <w:pPr>
        <w:pStyle w:val="Paragraphedeliste"/>
        <w:numPr>
          <w:ilvl w:val="0"/>
          <w:numId w:val="3"/>
        </w:numPr>
        <w:spacing w:after="100" w:line="276" w:lineRule="auto"/>
      </w:pPr>
      <w:r>
        <w:t>Séquencer l'exploration du général au spécifique : quand (temporel) → pourquoi (facteurs) → où agir (mix). Chaque étape contraint et oriente la suivante.</w:t>
      </w:r>
    </w:p>
    <w:p w14:paraId="54B7CE60" w14:textId="77777777" w:rsidR="002E02CE" w:rsidRDefault="00000000">
      <w:pPr>
        <w:pStyle w:val="Paragraphedeliste"/>
        <w:numPr>
          <w:ilvl w:val="0"/>
          <w:numId w:val="3"/>
        </w:numPr>
        <w:spacing w:after="100" w:line="276" w:lineRule="auto"/>
      </w:pPr>
      <w:r>
        <w:t>Toujours vérifier qu'un constat agrégé n'est pas un effet de moyenne, en le testant sur au moins un axe de coupe indépendant (ici : région, puis canal).</w:t>
      </w:r>
    </w:p>
    <w:p w14:paraId="2A751F14" w14:textId="77777777" w:rsidR="002E02CE" w:rsidRDefault="00000000">
      <w:pPr>
        <w:pStyle w:val="Paragraphedeliste"/>
        <w:numPr>
          <w:ilvl w:val="0"/>
          <w:numId w:val="3"/>
        </w:numPr>
        <w:spacing w:after="100" w:line="276" w:lineRule="auto"/>
      </w:pPr>
      <w:r>
        <w:t>Tester en priorité les hypothèses actionnables (ce que l'entreprise peut changer directement) avant les hypothèses purement contextuelles ou subies.</w:t>
      </w:r>
    </w:p>
    <w:p w14:paraId="6A3612D0" w14:textId="77777777" w:rsidR="002E02CE" w:rsidRDefault="00000000">
      <w:pPr>
        <w:pStyle w:val="Paragraphedeliste"/>
        <w:numPr>
          <w:ilvl w:val="0"/>
          <w:numId w:val="3"/>
        </w:numPr>
        <w:spacing w:after="100" w:line="276" w:lineRule="auto"/>
      </w:pPr>
      <w:r>
        <w:t>Documenter explicitement les hypothèses testées et rejetées — cela renforce la crédibilité de la conclusion retenue, bien davantage qu'un silence sur les pistes explorées.</w:t>
      </w:r>
    </w:p>
    <w:p w14:paraId="377C9985" w14:textId="77777777" w:rsidR="002E02CE" w:rsidRDefault="00000000">
      <w:pPr>
        <w:pStyle w:val="Paragraphedeliste"/>
        <w:numPr>
          <w:ilvl w:val="0"/>
          <w:numId w:val="3"/>
        </w:numPr>
        <w:spacing w:after="100" w:line="276" w:lineRule="auto"/>
      </w:pPr>
      <w:r>
        <w:t>Ne jamais conclure plus que ce que les données démontrent : une corrélation documentée doit rester formulée comme telle (« à investiguer ») tant que le mécanisme causal n'est pas isolé.</w:t>
      </w:r>
    </w:p>
    <w:p w14:paraId="421A42A2" w14:textId="77777777" w:rsidR="002E02CE" w:rsidRDefault="00000000">
      <w:pPr>
        <w:pStyle w:val="Titre2"/>
      </w:pPr>
      <w:bookmarkStart w:id="67" w:name="_Toc232967316"/>
      <w:r>
        <w:t>12.2 Qualité des données — réflexes à conserver</w:t>
      </w:r>
      <w:bookmarkEnd w:id="67"/>
    </w:p>
    <w:p w14:paraId="047B06FD" w14:textId="77777777" w:rsidR="002E02CE" w:rsidRDefault="00000000">
      <w:pPr>
        <w:pStyle w:val="Paragraphedeliste"/>
        <w:numPr>
          <w:ilvl w:val="0"/>
          <w:numId w:val="2"/>
        </w:numPr>
        <w:spacing w:after="100" w:line="276" w:lineRule="auto"/>
      </w:pPr>
      <w:r>
        <w:t>Vérifier systématiquement l'intégrité référentielle (clés orphelines) avant de faire confiance à un modèle relationnel.</w:t>
      </w:r>
    </w:p>
    <w:p w14:paraId="7EC7CBFB" w14:textId="77777777" w:rsidR="002E02CE" w:rsidRDefault="00000000">
      <w:pPr>
        <w:pStyle w:val="Paragraphedeliste"/>
        <w:numPr>
          <w:ilvl w:val="0"/>
          <w:numId w:val="2"/>
        </w:numPr>
        <w:spacing w:after="100" w:line="276" w:lineRule="auto"/>
      </w:pPr>
      <w:r>
        <w:t>Distinguer une vraie donnée manquante d'une catégorie métier légitime encodée en NULL (ici : NULL = prix plein, pas une lacune).</w:t>
      </w:r>
    </w:p>
    <w:p w14:paraId="51E9659A" w14:textId="77777777" w:rsidR="002E02CE" w:rsidRDefault="00000000">
      <w:pPr>
        <w:pStyle w:val="Paragraphedeliste"/>
        <w:numPr>
          <w:ilvl w:val="0"/>
          <w:numId w:val="2"/>
        </w:numPr>
        <w:spacing w:after="100" w:line="276" w:lineRule="auto"/>
      </w:pPr>
      <w:r>
        <w:t>Vérifier la cohérence arithmétique entre colonnes dérivées (Gross − Discount = Net, etc.) pour détecter de vraies erreurs plutôt que du bruit d'arrondi flottant.</w:t>
      </w:r>
    </w:p>
    <w:p w14:paraId="01EBA3E2" w14:textId="77777777" w:rsidR="002E02CE" w:rsidRDefault="00000000">
      <w:pPr>
        <w:pStyle w:val="Paragraphedeliste"/>
        <w:numPr>
          <w:ilvl w:val="0"/>
          <w:numId w:val="2"/>
        </w:numPr>
        <w:spacing w:after="100" w:line="276" w:lineRule="auto"/>
      </w:pPr>
      <w:r>
        <w:t>Vérifier la densité et la granularité d'une table de faits agrégée (ex. FactTraffic) avant de l'utiliser dans un calcul croisé — un trou silencieux fausserait un ratio sans erreur visible.</w:t>
      </w:r>
    </w:p>
    <w:p w14:paraId="47FACDE6" w14:textId="77777777" w:rsidR="002E02CE" w:rsidRDefault="00000000">
      <w:pPr>
        <w:pStyle w:val="Titre2"/>
      </w:pPr>
      <w:bookmarkStart w:id="68" w:name="_Toc232967317"/>
      <w:r>
        <w:t>12.3 Modélisation — pièges évités</w:t>
      </w:r>
      <w:bookmarkEnd w:id="68"/>
    </w:p>
    <w:p w14:paraId="7BB9BE41" w14:textId="77777777" w:rsidR="002E02CE" w:rsidRDefault="00000000">
      <w:pPr>
        <w:pStyle w:val="Paragraphedeliste"/>
        <w:numPr>
          <w:ilvl w:val="0"/>
          <w:numId w:val="2"/>
        </w:numPr>
        <w:spacing w:after="100" w:line="276" w:lineRule="auto"/>
      </w:pPr>
      <w:r>
        <w:t>Ne jamais relier deux tables de faits directement entre elles ; les faire communiquer via des dimensions partagées.</w:t>
      </w:r>
    </w:p>
    <w:p w14:paraId="1FC4C252" w14:textId="77777777" w:rsidR="002E02CE" w:rsidRDefault="00000000">
      <w:pPr>
        <w:pStyle w:val="Paragraphedeliste"/>
        <w:numPr>
          <w:ilvl w:val="0"/>
          <w:numId w:val="2"/>
        </w:numPr>
        <w:spacing w:after="100" w:line="276" w:lineRule="auto"/>
      </w:pPr>
      <w:r>
        <w:lastRenderedPageBreak/>
        <w:t>Accepter qu'une table de faits agrégée (granularité plus large) ne puisse pas se relier à toutes les dimensions disponibles — ce n'est pas une erreur à corriger artificiellement, c'est une limite réelle à documenter.</w:t>
      </w:r>
    </w:p>
    <w:p w14:paraId="5A5F7D42" w14:textId="77777777" w:rsidR="002E02CE" w:rsidRDefault="00000000">
      <w:pPr>
        <w:pStyle w:val="Paragraphedeliste"/>
        <w:numPr>
          <w:ilvl w:val="0"/>
          <w:numId w:val="2"/>
        </w:numPr>
        <w:spacing w:after="100" w:line="276" w:lineRule="auto"/>
      </w:pPr>
      <w:r>
        <w:t>Repérer les dénormalisations existantes dans les données sources (colonnes dupliquées entre tables) et choisir un chemin de filtre unique par usage, plutôt que de laisser deux chemins concurrents semer la confusion.</w:t>
      </w:r>
    </w:p>
    <w:p w14:paraId="1C553308" w14:textId="77777777" w:rsidR="002E02CE" w:rsidRDefault="00000000">
      <w:pPr>
        <w:pStyle w:val="Paragraphedeliste"/>
        <w:numPr>
          <w:ilvl w:val="0"/>
          <w:numId w:val="2"/>
        </w:numPr>
        <w:spacing w:after="100" w:line="276" w:lineRule="auto"/>
      </w:pPr>
      <w:r>
        <w:t>Toujours marquer explicitement la table de calendrier comme « Table de dates » avant d'utiliser des fonctions de Time Intelligence — l'absence de ce réglage ne produit pas d'erreur visible, seulement des résultats faux.</w:t>
      </w:r>
    </w:p>
    <w:p w14:paraId="0B937C85" w14:textId="77777777" w:rsidR="002E02CE" w:rsidRDefault="00000000">
      <w:pPr>
        <w:pStyle w:val="Titre2"/>
      </w:pPr>
      <w:bookmarkStart w:id="69" w:name="_Toc232967318"/>
      <w:r>
        <w:t>12.4 DAX — bonnes pratiques retenues</w:t>
      </w:r>
      <w:bookmarkEnd w:id="69"/>
    </w:p>
    <w:p w14:paraId="341CC027" w14:textId="77777777" w:rsidR="002E02CE" w:rsidRDefault="00000000">
      <w:pPr>
        <w:pStyle w:val="Paragraphedeliste"/>
        <w:numPr>
          <w:ilvl w:val="0"/>
          <w:numId w:val="2"/>
        </w:numPr>
        <w:spacing w:after="100" w:line="276" w:lineRule="auto"/>
      </w:pPr>
      <w:r>
        <w:t>DISTINCTCOUNT sur la clé de transaction (ex. OrderID), jamais COUNTROWS, pour tout calcul de panier moyen sur une table au grain ligne de commande.</w:t>
      </w:r>
    </w:p>
    <w:p w14:paraId="4E0456BC" w14:textId="77777777" w:rsidR="002E02CE" w:rsidRDefault="00000000">
      <w:pPr>
        <w:pStyle w:val="Paragraphedeliste"/>
        <w:numPr>
          <w:ilvl w:val="0"/>
          <w:numId w:val="2"/>
        </w:numPr>
        <w:spacing w:after="100" w:line="276" w:lineRule="auto"/>
      </w:pPr>
      <w:r>
        <w:t>DIVIDE() systématiquement à la place de l'opérateur / pour gérer proprement la division par zéro dans un contexte de filtre vide.</w:t>
      </w:r>
    </w:p>
    <w:p w14:paraId="1780377A" w14:textId="77777777" w:rsidR="002E02CE" w:rsidRDefault="00000000">
      <w:pPr>
        <w:pStyle w:val="Paragraphedeliste"/>
        <w:numPr>
          <w:ilvl w:val="0"/>
          <w:numId w:val="2"/>
        </w:numPr>
        <w:spacing w:after="100" w:line="276" w:lineRule="auto"/>
      </w:pPr>
      <w:r>
        <w:t>Une mesure de ratio doit référencer d'autres mesures, jamais recalculer les colonnes brutes — garantit la cohérence du chiffre affiché dans tout le rapport.</w:t>
      </w:r>
    </w:p>
    <w:p w14:paraId="2CDCFA3F" w14:textId="77777777" w:rsidR="002E02CE" w:rsidRDefault="00000000">
      <w:pPr>
        <w:pStyle w:val="Paragraphedeliste"/>
        <w:numPr>
          <w:ilvl w:val="0"/>
          <w:numId w:val="2"/>
        </w:numPr>
        <w:spacing w:after="100" w:line="276" w:lineRule="auto"/>
      </w:pPr>
      <w:r>
        <w:t>Figer des bornes temporelles en dur (CALCULATE avec une année fixe) est généralement une mauvaise pratique, sauf lorsque la mesure formalise explicitement un diagnostic à bornes fixes assumées — dans ce cas, le nom de la mesure doit le rendre évident pour quiconque la relit plus tard.</w:t>
      </w:r>
    </w:p>
    <w:p w14:paraId="3478FBD5" w14:textId="77777777" w:rsidR="002E02CE" w:rsidRDefault="00000000">
      <w:pPr>
        <w:pStyle w:val="Paragraphedeliste"/>
        <w:numPr>
          <w:ilvl w:val="0"/>
          <w:numId w:val="2"/>
        </w:numPr>
        <w:spacing w:after="100" w:line="276" w:lineRule="auto"/>
      </w:pPr>
      <w:r>
        <w:t>Choisir consciemment entre comparaison glissante (YoY, utile au pilotage courant) et comparaison structurelle à bornes fixes (utile à un diagnostic de tendance longue) — ces deux cadres répondent à des questions différentes et ne sont pas interchangeables.</w:t>
      </w:r>
    </w:p>
    <w:p w14:paraId="2061F605" w14:textId="77777777" w:rsidR="002E02CE" w:rsidRDefault="00000000">
      <w:pPr>
        <w:pStyle w:val="Titre2"/>
      </w:pPr>
      <w:bookmarkStart w:id="70" w:name="_Toc232967319"/>
      <w:r>
        <w:t>12.5 Power Query — bonnes pratiques retenues</w:t>
      </w:r>
      <w:bookmarkEnd w:id="70"/>
    </w:p>
    <w:p w14:paraId="6927D6E9" w14:textId="77777777" w:rsidR="002E02CE" w:rsidRDefault="00000000">
      <w:pPr>
        <w:pStyle w:val="Paragraphedeliste"/>
        <w:numPr>
          <w:ilvl w:val="0"/>
          <w:numId w:val="2"/>
        </w:numPr>
        <w:spacing w:after="100" w:line="276" w:lineRule="auto"/>
      </w:pPr>
      <w:r>
        <w:t>Pousser le nettoyage de présentation (recodage de valeurs, gestion des NULL) le plus en amont possible, en Power Query plutôt qu'en colonne calculée DAX, pour la performance et la lisibilité du modèle.</w:t>
      </w:r>
    </w:p>
    <w:p w14:paraId="386C9238" w14:textId="77777777" w:rsidR="002E02CE" w:rsidRDefault="00000000">
      <w:pPr>
        <w:pStyle w:val="Paragraphedeliste"/>
        <w:numPr>
          <w:ilvl w:val="0"/>
          <w:numId w:val="2"/>
        </w:numPr>
        <w:spacing w:after="100" w:line="276" w:lineRule="auto"/>
      </w:pPr>
      <w:r>
        <w:t>Vérifier qu'un remplacement de valeur couvre tous les encodages possibles d'une valeur manquante (null typé et chaîne vide peuvent coexister selon l'origine du fichier source).</w:t>
      </w:r>
    </w:p>
    <w:p w14:paraId="38324590" w14:textId="77777777" w:rsidR="002E02CE" w:rsidRDefault="00000000">
      <w:pPr>
        <w:pStyle w:val="Paragraphedeliste"/>
        <w:numPr>
          <w:ilvl w:val="0"/>
          <w:numId w:val="2"/>
        </w:numPr>
        <w:spacing w:after="100" w:line="276" w:lineRule="auto"/>
      </w:pPr>
      <w:r>
        <w:t>Garder toute transformation strictement dans la couche modèle (jamais dans le fichier source) pour rester conforme à des règles de compétition ou de gouvernance interdisant la modification des données brutes.</w:t>
      </w:r>
    </w:p>
    <w:p w14:paraId="7BA36945" w14:textId="77777777" w:rsidR="002E02CE" w:rsidRDefault="00000000">
      <w:pPr>
        <w:pStyle w:val="Titre2"/>
      </w:pPr>
      <w:bookmarkStart w:id="71" w:name="_Toc232967320"/>
      <w:r>
        <w:t>12.6 Conception de rapport — principes transférables</w:t>
      </w:r>
      <w:bookmarkEnd w:id="71"/>
    </w:p>
    <w:p w14:paraId="470A729A" w14:textId="77777777" w:rsidR="002E02CE" w:rsidRDefault="00000000">
      <w:pPr>
        <w:pStyle w:val="Paragraphedeliste"/>
        <w:numPr>
          <w:ilvl w:val="0"/>
          <w:numId w:val="2"/>
        </w:numPr>
        <w:spacing w:after="100" w:line="276" w:lineRule="auto"/>
      </w:pPr>
      <w:r>
        <w:t>Faire correspondre la structure des pages à la structure du raisonnement analytique, pas à un découpage arbitraire par table ou par thème.</w:t>
      </w:r>
    </w:p>
    <w:p w14:paraId="76DB6591" w14:textId="77777777" w:rsidR="002E02CE" w:rsidRDefault="00000000">
      <w:pPr>
        <w:pStyle w:val="Paragraphedeliste"/>
        <w:numPr>
          <w:ilvl w:val="0"/>
          <w:numId w:val="2"/>
        </w:numPr>
        <w:spacing w:after="100" w:line="276" w:lineRule="auto"/>
      </w:pPr>
      <w:r>
        <w:t>Chaque page doit répondre à une seule question, complètement, plutôt que plusieurs questions partiellement — évite l'effet teaser qui frustre un lecteur pressé.</w:t>
      </w:r>
    </w:p>
    <w:p w14:paraId="59D473E5" w14:textId="77777777" w:rsidR="002E02CE" w:rsidRDefault="00000000">
      <w:pPr>
        <w:pStyle w:val="Paragraphedeliste"/>
        <w:numPr>
          <w:ilvl w:val="0"/>
          <w:numId w:val="2"/>
        </w:numPr>
        <w:spacing w:after="100" w:line="276" w:lineRule="auto"/>
      </w:pPr>
      <w:r>
        <w:lastRenderedPageBreak/>
        <w:t>Le titre d'un visuel doit porter l'insight (« le trafic double, la conversion ne bouge pas »), pas seulement décrire son contenu technique (« sessions et taux de conversion »).</w:t>
      </w:r>
    </w:p>
    <w:p w14:paraId="466EFAB9" w14:textId="77777777" w:rsidR="002E02CE" w:rsidRDefault="00000000">
      <w:pPr>
        <w:pStyle w:val="Paragraphedeliste"/>
        <w:numPr>
          <w:ilvl w:val="0"/>
          <w:numId w:val="2"/>
        </w:numPr>
        <w:spacing w:after="100" w:line="276" w:lineRule="auto"/>
      </w:pPr>
      <w:r>
        <w:t>Vérifier manuellement les bornes d'axe d'un visuel comparatif (ex. taux de conversion) pour éviter qu'une échelle automatique n'exagère visuellement une variation négligeable.</w:t>
      </w:r>
    </w:p>
    <w:p w14:paraId="2A955F94" w14:textId="77777777" w:rsidR="002E02CE" w:rsidRDefault="00000000">
      <w:pPr>
        <w:pStyle w:val="Paragraphedeliste"/>
        <w:numPr>
          <w:ilvl w:val="0"/>
          <w:numId w:val="2"/>
        </w:numPr>
        <w:spacing w:after="100" w:line="276" w:lineRule="auto"/>
      </w:pPr>
      <w:r>
        <w:t>Une page de synthèse / recommandations ne doit pas réintroduire de nouvelle analyse de données brutes — elle conclut, elle ne démontre pas à nouveau.</w:t>
      </w:r>
    </w:p>
    <w:p w14:paraId="3F807879" w14:textId="77777777" w:rsidR="002E02CE" w:rsidRDefault="00000000">
      <w:pPr>
        <w:pStyle w:val="Titre2"/>
      </w:pPr>
      <w:bookmarkStart w:id="72" w:name="_Toc232967321"/>
      <w:r>
        <w:t>12.7 Pistes laissées ouvertes pour une itération future</w:t>
      </w:r>
      <w:bookmarkEnd w:id="72"/>
    </w:p>
    <w:p w14:paraId="3E9A8D47" w14:textId="77777777" w:rsidR="002E02CE" w:rsidRDefault="00000000">
      <w:pPr>
        <w:spacing w:after="160" w:line="276" w:lineRule="auto"/>
      </w:pPr>
      <w:r>
        <w:t>Ce projet a volontairement documenté ses limites plutôt que de les masquer. Les pistes suivantes restent à explorer pour approfondir le diagnostic :</w:t>
      </w:r>
    </w:p>
    <w:p w14:paraId="4A2AB608" w14:textId="77777777" w:rsidR="002E02CE" w:rsidRDefault="00000000">
      <w:pPr>
        <w:pStyle w:val="Paragraphedeliste"/>
        <w:numPr>
          <w:ilvl w:val="0"/>
          <w:numId w:val="3"/>
        </w:numPr>
        <w:spacing w:after="100" w:line="276" w:lineRule="auto"/>
      </w:pPr>
      <w:r>
        <w:t>Isoler la cause de la progression du panier moyen en Allemagne, aux États-Unis et au Brésil (mix fin StarPlayer / BrandLine, ou effet PriceIndex / ConversionIndex de DimRegion).</w:t>
      </w:r>
    </w:p>
    <w:p w14:paraId="6396378E" w14:textId="77777777" w:rsidR="002E02CE" w:rsidRDefault="00000000">
      <w:pPr>
        <w:pStyle w:val="Paragraphedeliste"/>
        <w:numPr>
          <w:ilvl w:val="0"/>
          <w:numId w:val="3"/>
        </w:numPr>
        <w:spacing w:after="100" w:line="276" w:lineRule="auto"/>
      </w:pPr>
      <w:r>
        <w:t>Analyser si les clients acquis pendant les fenêtres de tournoi (cohortes IsTournamentWindow) ont un comportement d'achat différent dans la durée, via la colonne calculée Acquisition Year.</w:t>
      </w:r>
    </w:p>
    <w:p w14:paraId="14DE3CF2" w14:textId="77777777" w:rsidR="002E02CE" w:rsidRDefault="00000000">
      <w:pPr>
        <w:pStyle w:val="Paragraphedeliste"/>
        <w:numPr>
          <w:ilvl w:val="0"/>
          <w:numId w:val="3"/>
        </w:numPr>
        <w:spacing w:after="100" w:line="276" w:lineRule="auto"/>
      </w:pPr>
      <w:r>
        <w:t>Croiser la colonne Price Tier avec Country pour tester si les marchés en sur-performance d'AOV achètent proportionnellement plus de produits Premium / Ultra-Premium.</w:t>
      </w:r>
    </w:p>
    <w:p w14:paraId="2CD4DB25" w14:textId="77777777" w:rsidR="002E02CE" w:rsidRDefault="00000000">
      <w:pPr>
        <w:pStyle w:val="Paragraphedeliste"/>
        <w:numPr>
          <w:ilvl w:val="0"/>
          <w:numId w:val="3"/>
        </w:numPr>
        <w:spacing w:after="100" w:line="276" w:lineRule="auto"/>
      </w:pPr>
      <w:r>
        <w:t>Investiguer séparément la légère érosion d'AOV du Royaume-Uni, dont la cause n'a été expliquée ni par le mix produit ni par la pression promotionnelle.</w:t>
      </w:r>
    </w:p>
    <w:p w14:paraId="7CE7DC00" w14:textId="77777777" w:rsidR="002E02CE" w:rsidRDefault="00000000">
      <w:pPr>
        <w:pBdr>
          <w:top w:val="single" w:sz="6" w:space="12" w:color="1F3864"/>
        </w:pBdr>
        <w:spacing w:before="400"/>
      </w:pPr>
      <w:r>
        <w:rPr>
          <w:sz w:val="2"/>
          <w:szCs w:val="2"/>
        </w:rPr>
        <w:t xml:space="preserve"> </w:t>
      </w:r>
    </w:p>
    <w:p w14:paraId="65EFE9BA" w14:textId="77777777" w:rsidR="002E02CE" w:rsidRDefault="00000000">
      <w:pPr>
        <w:spacing w:after="160" w:line="276" w:lineRule="auto"/>
      </w:pPr>
      <w:r>
        <w:rPr>
          <w:i/>
          <w:iCs/>
          <w:color w:val="666666"/>
        </w:rPr>
        <w:t>Document généré comme support de méthode et de portfolio, à l'issue de l'accompagnement mentoral mené sur le projet PitchSide Pro — Power BI Data Visualization World Championship 2026, Manche 1.</w:t>
      </w:r>
    </w:p>
    <w:sectPr w:rsidR="002E02CE">
      <w:headerReference w:type="default" r:id="rId7"/>
      <w:footerReference w:type="default" r:id="rId8"/>
      <w:head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0AF12" w14:textId="77777777" w:rsidR="001B0846" w:rsidRDefault="001B0846">
      <w:r>
        <w:separator/>
      </w:r>
    </w:p>
  </w:endnote>
  <w:endnote w:type="continuationSeparator" w:id="0">
    <w:p w14:paraId="2EBA3F89" w14:textId="77777777" w:rsidR="001B0846" w:rsidRDefault="001B0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34CF8" w14:textId="77777777" w:rsidR="002E02C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7055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30322" w14:textId="77777777" w:rsidR="001B0846" w:rsidRDefault="001B0846">
      <w:r>
        <w:separator/>
      </w:r>
    </w:p>
  </w:footnote>
  <w:footnote w:type="continuationSeparator" w:id="0">
    <w:p w14:paraId="2E9DAEAD" w14:textId="77777777" w:rsidR="001B0846" w:rsidRDefault="001B0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A7EB" w14:textId="77777777" w:rsidR="002E02CE" w:rsidRDefault="00000000">
    <w:pPr>
      <w:pBdr>
        <w:bottom w:val="single" w:sz="4" w:space="4" w:color="CCCCCC"/>
      </w:pBdr>
      <w:tabs>
        <w:tab w:val="right" w:pos="9026"/>
      </w:tabs>
    </w:pPr>
    <w:r>
      <w:rPr>
        <w:color w:val="888888"/>
        <w:sz w:val="16"/>
        <w:szCs w:val="16"/>
      </w:rPr>
      <w:t>PitchSide Pro — Diagnostic de la performance des revenus</w:t>
    </w:r>
    <w:r>
      <w:rPr>
        <w:color w:val="888888"/>
        <w:sz w:val="16"/>
        <w:szCs w:val="16"/>
      </w:rPr>
      <w:tab/>
      <w:t>Power BI Dataviz World Championship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7AF42" w14:textId="77777777" w:rsidR="002E02CE" w:rsidRDefault="002E02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D7D26"/>
    <w:multiLevelType w:val="hybridMultilevel"/>
    <w:tmpl w:val="E1FE62EE"/>
    <w:lvl w:ilvl="0" w:tplc="D25A823E">
      <w:start w:val="1"/>
      <w:numFmt w:val="decimal"/>
      <w:lvlText w:val="%1."/>
      <w:lvlJc w:val="left"/>
      <w:pPr>
        <w:ind w:left="720" w:hanging="360"/>
      </w:pPr>
    </w:lvl>
    <w:lvl w:ilvl="1" w:tplc="FBF20C2A">
      <w:numFmt w:val="decimal"/>
      <w:lvlText w:val=""/>
      <w:lvlJc w:val="left"/>
    </w:lvl>
    <w:lvl w:ilvl="2" w:tplc="F71A274E">
      <w:numFmt w:val="decimal"/>
      <w:lvlText w:val=""/>
      <w:lvlJc w:val="left"/>
    </w:lvl>
    <w:lvl w:ilvl="3" w:tplc="6902006C">
      <w:numFmt w:val="decimal"/>
      <w:lvlText w:val=""/>
      <w:lvlJc w:val="left"/>
    </w:lvl>
    <w:lvl w:ilvl="4" w:tplc="AD5298B0">
      <w:numFmt w:val="decimal"/>
      <w:lvlText w:val=""/>
      <w:lvlJc w:val="left"/>
    </w:lvl>
    <w:lvl w:ilvl="5" w:tplc="FC96B122">
      <w:numFmt w:val="decimal"/>
      <w:lvlText w:val=""/>
      <w:lvlJc w:val="left"/>
    </w:lvl>
    <w:lvl w:ilvl="6" w:tplc="E904D9EC">
      <w:numFmt w:val="decimal"/>
      <w:lvlText w:val=""/>
      <w:lvlJc w:val="left"/>
    </w:lvl>
    <w:lvl w:ilvl="7" w:tplc="E77C30E8">
      <w:numFmt w:val="decimal"/>
      <w:lvlText w:val=""/>
      <w:lvlJc w:val="left"/>
    </w:lvl>
    <w:lvl w:ilvl="8" w:tplc="7CEA8394">
      <w:numFmt w:val="decimal"/>
      <w:lvlText w:val=""/>
      <w:lvlJc w:val="left"/>
    </w:lvl>
  </w:abstractNum>
  <w:abstractNum w:abstractNumId="1" w15:restartNumberingAfterBreak="0">
    <w:nsid w:val="3CB6640D"/>
    <w:multiLevelType w:val="hybridMultilevel"/>
    <w:tmpl w:val="35707E6E"/>
    <w:lvl w:ilvl="0" w:tplc="D968F888">
      <w:start w:val="1"/>
      <w:numFmt w:val="bullet"/>
      <w:lvlText w:val="•"/>
      <w:lvlJc w:val="left"/>
      <w:pPr>
        <w:ind w:left="720" w:hanging="360"/>
      </w:pPr>
    </w:lvl>
    <w:lvl w:ilvl="1" w:tplc="050266E0">
      <w:numFmt w:val="decimal"/>
      <w:lvlText w:val=""/>
      <w:lvlJc w:val="left"/>
    </w:lvl>
    <w:lvl w:ilvl="2" w:tplc="19E6F074">
      <w:numFmt w:val="decimal"/>
      <w:lvlText w:val=""/>
      <w:lvlJc w:val="left"/>
    </w:lvl>
    <w:lvl w:ilvl="3" w:tplc="3DA690E2">
      <w:numFmt w:val="decimal"/>
      <w:lvlText w:val=""/>
      <w:lvlJc w:val="left"/>
    </w:lvl>
    <w:lvl w:ilvl="4" w:tplc="D902AAAE">
      <w:numFmt w:val="decimal"/>
      <w:lvlText w:val=""/>
      <w:lvlJc w:val="left"/>
    </w:lvl>
    <w:lvl w:ilvl="5" w:tplc="7FC409DC">
      <w:numFmt w:val="decimal"/>
      <w:lvlText w:val=""/>
      <w:lvlJc w:val="left"/>
    </w:lvl>
    <w:lvl w:ilvl="6" w:tplc="B39E2D36">
      <w:numFmt w:val="decimal"/>
      <w:lvlText w:val=""/>
      <w:lvlJc w:val="left"/>
    </w:lvl>
    <w:lvl w:ilvl="7" w:tplc="F9C81E24">
      <w:numFmt w:val="decimal"/>
      <w:lvlText w:val=""/>
      <w:lvlJc w:val="left"/>
    </w:lvl>
    <w:lvl w:ilvl="8" w:tplc="9A4E34F4">
      <w:numFmt w:val="decimal"/>
      <w:lvlText w:val=""/>
      <w:lvlJc w:val="left"/>
    </w:lvl>
  </w:abstractNum>
  <w:abstractNum w:abstractNumId="2" w15:restartNumberingAfterBreak="0">
    <w:nsid w:val="581E4515"/>
    <w:multiLevelType w:val="hybridMultilevel"/>
    <w:tmpl w:val="E87EF1EE"/>
    <w:lvl w:ilvl="0" w:tplc="CD0CBD3C">
      <w:start w:val="1"/>
      <w:numFmt w:val="bullet"/>
      <w:lvlText w:val="●"/>
      <w:lvlJc w:val="left"/>
      <w:pPr>
        <w:ind w:left="720" w:hanging="360"/>
      </w:pPr>
    </w:lvl>
    <w:lvl w:ilvl="1" w:tplc="2B0EFD88">
      <w:start w:val="1"/>
      <w:numFmt w:val="bullet"/>
      <w:lvlText w:val="○"/>
      <w:lvlJc w:val="left"/>
      <w:pPr>
        <w:ind w:left="1440" w:hanging="360"/>
      </w:pPr>
    </w:lvl>
    <w:lvl w:ilvl="2" w:tplc="F64C5FE8">
      <w:start w:val="1"/>
      <w:numFmt w:val="bullet"/>
      <w:lvlText w:val="■"/>
      <w:lvlJc w:val="left"/>
      <w:pPr>
        <w:ind w:left="2160" w:hanging="360"/>
      </w:pPr>
    </w:lvl>
    <w:lvl w:ilvl="3" w:tplc="E2103C10">
      <w:start w:val="1"/>
      <w:numFmt w:val="bullet"/>
      <w:lvlText w:val="●"/>
      <w:lvlJc w:val="left"/>
      <w:pPr>
        <w:ind w:left="2880" w:hanging="360"/>
      </w:pPr>
    </w:lvl>
    <w:lvl w:ilvl="4" w:tplc="C37637BE">
      <w:start w:val="1"/>
      <w:numFmt w:val="bullet"/>
      <w:lvlText w:val="○"/>
      <w:lvlJc w:val="left"/>
      <w:pPr>
        <w:ind w:left="3600" w:hanging="360"/>
      </w:pPr>
    </w:lvl>
    <w:lvl w:ilvl="5" w:tplc="D9540024">
      <w:start w:val="1"/>
      <w:numFmt w:val="bullet"/>
      <w:lvlText w:val="■"/>
      <w:lvlJc w:val="left"/>
      <w:pPr>
        <w:ind w:left="4320" w:hanging="360"/>
      </w:pPr>
    </w:lvl>
    <w:lvl w:ilvl="6" w:tplc="D674E32A">
      <w:start w:val="1"/>
      <w:numFmt w:val="bullet"/>
      <w:lvlText w:val="●"/>
      <w:lvlJc w:val="left"/>
      <w:pPr>
        <w:ind w:left="5040" w:hanging="360"/>
      </w:pPr>
    </w:lvl>
    <w:lvl w:ilvl="7" w:tplc="83B0858E">
      <w:start w:val="1"/>
      <w:numFmt w:val="bullet"/>
      <w:lvlText w:val="●"/>
      <w:lvlJc w:val="left"/>
      <w:pPr>
        <w:ind w:left="5760" w:hanging="360"/>
      </w:pPr>
    </w:lvl>
    <w:lvl w:ilvl="8" w:tplc="3F9210E4">
      <w:start w:val="1"/>
      <w:numFmt w:val="bullet"/>
      <w:lvlText w:val="●"/>
      <w:lvlJc w:val="left"/>
      <w:pPr>
        <w:ind w:left="6480" w:hanging="360"/>
      </w:pPr>
    </w:lvl>
  </w:abstractNum>
  <w:num w:numId="1" w16cid:durableId="1442991543">
    <w:abstractNumId w:val="2"/>
    <w:lvlOverride w:ilvl="0">
      <w:startOverride w:val="1"/>
    </w:lvlOverride>
  </w:num>
  <w:num w:numId="2" w16cid:durableId="2105611837">
    <w:abstractNumId w:val="1"/>
    <w:lvlOverride w:ilvl="0">
      <w:startOverride w:val="1"/>
    </w:lvlOverride>
  </w:num>
  <w:num w:numId="3" w16cid:durableId="850729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2CE"/>
    <w:rsid w:val="000B5DD4"/>
    <w:rsid w:val="0017341C"/>
    <w:rsid w:val="001B0846"/>
    <w:rsid w:val="002E02CE"/>
    <w:rsid w:val="006705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355D"/>
  <w15:docId w15:val="{A6195723-65CD-4D2E-A7F6-A0336BF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6" w:color="1F3864"/>
      </w:pBdr>
      <w:spacing w:before="360" w:after="200"/>
      <w:outlineLvl w:val="0"/>
    </w:pPr>
    <w:rPr>
      <w:b/>
      <w:bCs/>
      <w:color w:val="1F3864"/>
      <w:sz w:val="32"/>
      <w:szCs w:val="32"/>
    </w:rPr>
  </w:style>
  <w:style w:type="paragraph" w:styleId="Titre2">
    <w:name w:val="heading 2"/>
    <w:uiPriority w:val="9"/>
    <w:unhideWhenUsed/>
    <w:qFormat/>
    <w:pPr>
      <w:spacing w:before="280" w:after="140"/>
      <w:outlineLvl w:val="1"/>
    </w:pPr>
    <w:rPr>
      <w:b/>
      <w:bCs/>
      <w:color w:val="1F3864"/>
      <w:sz w:val="26"/>
      <w:szCs w:val="26"/>
    </w:rPr>
  </w:style>
  <w:style w:type="paragraph" w:styleId="Titre3">
    <w:name w:val="heading 3"/>
    <w:uiPriority w:val="9"/>
    <w:unhideWhenUsed/>
    <w:qFormat/>
    <w:pPr>
      <w:spacing w:before="200" w:after="100"/>
      <w:outlineLvl w:val="2"/>
    </w:pPr>
    <w:rPr>
      <w:b/>
      <w:bCs/>
      <w:i/>
      <w:i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70552"/>
    <w:pPr>
      <w:spacing w:after="100"/>
    </w:pPr>
  </w:style>
  <w:style w:type="paragraph" w:styleId="TM2">
    <w:name w:val="toc 2"/>
    <w:basedOn w:val="Normal"/>
    <w:next w:val="Normal"/>
    <w:autoRedefine/>
    <w:uiPriority w:val="39"/>
    <w:unhideWhenUsed/>
    <w:rsid w:val="00670552"/>
    <w:pPr>
      <w:spacing w:after="100"/>
      <w:ind w:left="220"/>
    </w:pPr>
  </w:style>
  <w:style w:type="paragraph" w:styleId="TM3">
    <w:name w:val="toc 3"/>
    <w:basedOn w:val="Normal"/>
    <w:next w:val="Normal"/>
    <w:autoRedefine/>
    <w:uiPriority w:val="39"/>
    <w:unhideWhenUsed/>
    <w:rsid w:val="006705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8595</Words>
  <Characters>47278</Characters>
  <Application>Microsoft Office Word</Application>
  <DocSecurity>0</DocSecurity>
  <Lines>393</Lines>
  <Paragraphs>111</Paragraphs>
  <ScaleCrop>false</ScaleCrop>
  <Company/>
  <LinksUpToDate>false</LinksUpToDate>
  <CharactersWithSpaces>55762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PitchSide Pro — Diagnostic de la performance des revenus</dc:title>
  <dc:creator>Mentorat BI/Data — Projet PitchSide Pro</dc:creator>
  <cp:lastModifiedBy>Tibo Bomisso</cp:lastModifiedBy>
  <cp:revision>3</cp:revision>
  <cp:lastPrinted>2026-06-21T20:48:00Z</cp:lastPrinted>
  <dcterms:created xsi:type="dcterms:W3CDTF">2026-06-21T20:48:00Z</dcterms:created>
  <dcterms:modified xsi:type="dcterms:W3CDTF">2026-06-21T20:50:00Z</dcterms:modified>
</cp:coreProperties>
</file>