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Retail Star Schema ��� Documentation Technique v3</w:t>
      </w:r>
    </w:p>
    <w:p>
      <w:pPr>
        <w:pStyle w:val="FirstParagraph"/>
      </w:pPr>
      <w:r>
        <w:t xml:space="preserve">Retail Star Schema — Documentation Technique v3</w:t>
      </w:r>
    </w:p>
    <w:p>
      <w:pPr>
        <w:pStyle w:val="BodyText"/>
      </w:pPr>
      <w:r>
        <w:t xml:space="preserve">Retail Star Schema</w:t>
      </w:r>
    </w:p>
    <w:p>
      <w:pPr>
        <w:pStyle w:val="BodyText"/>
      </w:pPr>
      <w:r>
        <w:t xml:space="preserve">Documentation technique complète — Version 3 (post-audit + conception dashboard)</w:t>
      </w:r>
    </w:p>
    <w:p>
      <w:pPr>
        <w:pStyle w:val="BodyText"/>
      </w:pPr>
      <w:r>
        <w:t xml:space="preserve">Objet de ce document : journal technique exhaustif du projet — architecture des données, bugs identifiés et corrigés (avec le raisonnement complet), conception du dashboard page par page, et limites connues du jeu de données. Destiné à la reprise future du projet et à servir de support de formation (pièges DAX et Power Query réels, rencontrés et résolus sur un cas concret).</w:t>
      </w:r>
    </w:p>
    <w:p>
      <w:pPr>
        <w:pStyle w:val="BodyText"/>
      </w:pPr>
      <w:r>
        <w:t xml:space="preserve">Cette version 3 ajoute la Section 11, journal de la phase de conception visuelle du dashboard dans Power BI (thème, structure des pages, interactions, nouvelles mesures, nouvelles découvertes analytiques) — réalisée après l’audit documenté dans les sections 1 à 10 ci-dessous, qui restent inchangées.</w:t>
      </w:r>
    </w:p>
    <w:bookmarkStart w:id="20" w:name="sommaire"/>
    <w:p>
      <w:pPr>
        <w:pStyle w:val="Heading1"/>
      </w:pPr>
      <w:r>
        <w:t xml:space="preserve">Sommaire</w:t>
      </w:r>
    </w:p>
    <w:p>
      <w:pPr>
        <w:numPr>
          <w:ilvl w:val="0"/>
          <w:numId w:val="1001"/>
        </w:numPr>
        <w:pStyle w:val="Compact"/>
      </w:pPr>
    </w:p>
    <w:p>
      <w:pPr>
        <w:numPr>
          <w:ilvl w:val="1"/>
          <w:numId w:val="1002"/>
        </w:numPr>
        <w:pStyle w:val="Compact"/>
      </w:pPr>
      <w:r>
        <w:t xml:space="preserve">Contexte et architecture des données</w:t>
      </w:r>
    </w:p>
    <w:p>
      <w:pPr>
        <w:numPr>
          <w:ilvl w:val="0"/>
          <w:numId w:val="1001"/>
        </w:numPr>
        <w:pStyle w:val="Compact"/>
      </w:pPr>
    </w:p>
    <w:p>
      <w:pPr>
        <w:numPr>
          <w:ilvl w:val="1"/>
          <w:numId w:val="1003"/>
        </w:numPr>
        <w:pStyle w:val="Compact"/>
      </w:pPr>
      <w:r>
        <w:t xml:space="preserve">Historique des corrections — bugs DAX (avec diagnostic complet)</w:t>
      </w:r>
    </w:p>
    <w:p>
      <w:pPr>
        <w:numPr>
          <w:ilvl w:val="0"/>
          <w:numId w:val="1001"/>
        </w:numPr>
        <w:pStyle w:val="Compact"/>
      </w:pPr>
    </w:p>
    <w:p>
      <w:pPr>
        <w:numPr>
          <w:ilvl w:val="1"/>
          <w:numId w:val="1004"/>
        </w:numPr>
        <w:pStyle w:val="Compact"/>
      </w:pPr>
      <w:r>
        <w:t xml:space="preserve">Corrections Power Query (colonnes d’affichage, nettoyage)</w:t>
      </w:r>
    </w:p>
    <w:p>
      <w:pPr>
        <w:numPr>
          <w:ilvl w:val="0"/>
          <w:numId w:val="1001"/>
        </w:numPr>
        <w:pStyle w:val="Compact"/>
      </w:pPr>
    </w:p>
    <w:p>
      <w:pPr>
        <w:numPr>
          <w:ilvl w:val="1"/>
          <w:numId w:val="1005"/>
        </w:numPr>
        <w:pStyle w:val="Compact"/>
      </w:pPr>
      <w:r>
        <w:t xml:space="preserve">Modélisation — choix structurants et leurs raisons</w:t>
      </w:r>
    </w:p>
    <w:p>
      <w:pPr>
        <w:numPr>
          <w:ilvl w:val="0"/>
          <w:numId w:val="1001"/>
        </w:numPr>
        <w:pStyle w:val="Compact"/>
      </w:pPr>
    </w:p>
    <w:p>
      <w:pPr>
        <w:numPr>
          <w:ilvl w:val="1"/>
          <w:numId w:val="1006"/>
        </w:numPr>
        <w:pStyle w:val="Compact"/>
      </w:pPr>
      <w:r>
        <w:t xml:space="preserve">Conception du dashboard — 5 pages en détail</w:t>
      </w:r>
    </w:p>
    <w:p>
      <w:pPr>
        <w:numPr>
          <w:ilvl w:val="0"/>
          <w:numId w:val="1001"/>
        </w:numPr>
        <w:pStyle w:val="Compact"/>
      </w:pPr>
    </w:p>
    <w:p>
      <w:pPr>
        <w:numPr>
          <w:ilvl w:val="1"/>
          <w:numId w:val="1007"/>
        </w:numPr>
        <w:pStyle w:val="Compact"/>
      </w:pPr>
      <w:r>
        <w:t xml:space="preserve">Constats analytiques transverses</w:t>
      </w:r>
    </w:p>
    <w:p>
      <w:pPr>
        <w:numPr>
          <w:ilvl w:val="0"/>
          <w:numId w:val="1001"/>
        </w:numPr>
        <w:pStyle w:val="Compact"/>
      </w:pPr>
    </w:p>
    <w:p>
      <w:pPr>
        <w:numPr>
          <w:ilvl w:val="1"/>
          <w:numId w:val="1008"/>
        </w:numPr>
        <w:pStyle w:val="Compact"/>
      </w:pPr>
      <w:r>
        <w:t xml:space="preserve">Limites connues du jeu de données</w:t>
      </w:r>
    </w:p>
    <w:p>
      <w:pPr>
        <w:numPr>
          <w:ilvl w:val="0"/>
          <w:numId w:val="1001"/>
        </w:numPr>
        <w:pStyle w:val="Compact"/>
      </w:pPr>
    </w:p>
    <w:p>
      <w:pPr>
        <w:numPr>
          <w:ilvl w:val="1"/>
          <w:numId w:val="1009"/>
        </w:numPr>
        <w:pStyle w:val="Compact"/>
      </w:pPr>
      <w:r>
        <w:t xml:space="preserve">Points en attente / à finaliser</w:t>
      </w:r>
    </w:p>
    <w:p>
      <w:pPr>
        <w:numPr>
          <w:ilvl w:val="0"/>
          <w:numId w:val="1001"/>
        </w:numPr>
        <w:pStyle w:val="Compact"/>
      </w:pPr>
    </w:p>
    <w:p>
      <w:pPr>
        <w:numPr>
          <w:ilvl w:val="1"/>
          <w:numId w:val="1010"/>
        </w:numPr>
        <w:pStyle w:val="Compact"/>
      </w:pPr>
      <w:r>
        <w:t xml:space="preserve">Annexe pédagogique — pièges DAX à retenir pour la formation</w:t>
      </w:r>
    </w:p>
    <w:p>
      <w:pPr>
        <w:numPr>
          <w:ilvl w:val="0"/>
          <w:numId w:val="1001"/>
        </w:numPr>
        <w:pStyle w:val="Compact"/>
      </w:pPr>
    </w:p>
    <w:p>
      <w:pPr>
        <w:numPr>
          <w:ilvl w:val="1"/>
          <w:numId w:val="1011"/>
        </w:numPr>
        <w:pStyle w:val="Compact"/>
      </w:pPr>
      <w:r>
        <w:t xml:space="preserve">Storytelling — synthèse pour comité de direction</w:t>
      </w:r>
    </w:p>
    <w:p>
      <w:pPr>
        <w:numPr>
          <w:ilvl w:val="0"/>
          <w:numId w:val="1001"/>
        </w:numPr>
        <w:pStyle w:val="Compact"/>
      </w:pPr>
    </w:p>
    <w:p>
      <w:pPr>
        <w:numPr>
          <w:ilvl w:val="1"/>
          <w:numId w:val="1012"/>
        </w:numPr>
        <w:pStyle w:val="Compact"/>
      </w:pPr>
      <w:r>
        <w:t xml:space="preserve">Journal de conception du dashboard Power BI — thème, structure, mesures et découvertes</w:t>
      </w:r>
    </w:p>
    <w:bookmarkEnd w:id="20"/>
    <w:bookmarkStart w:id="24" w:name="contexte-et-architecture-des-données"/>
    <w:p>
      <w:pPr>
        <w:pStyle w:val="Heading1"/>
      </w:pPr>
      <w:r>
        <w:t xml:space="preserve">1. Contexte et architecture des données</w:t>
      </w:r>
    </w:p>
    <w:p>
      <w:pPr>
        <w:pStyle w:val="FirstParagraph"/>
      </w:pPr>
      <w:r>
        <w:t xml:space="preserve">Modèle en étoile : une table de faits (fact_sales, livrée en 2 fichiers CSV — fact_sales_part1 et fact_sales_part2 — pour respecter une limite de taille de chargement) et 6 dimensions.</w:t>
      </w:r>
    </w:p>
    <w:bookmarkStart w:id="22" w:name="tables-et-volumétrie-réelle"/>
    <w:p>
      <w:pPr>
        <w:pStyle w:val="Heading2"/>
      </w:pPr>
      <w:r>
        <w:t xml:space="preserve">1.1 Tables et volumétrie réelle</w:t>
      </w:r>
    </w:p>
    <w:p>
      <w:pPr>
        <w:numPr>
          <w:ilvl w:val="0"/>
          <w:numId w:val="1013"/>
        </w:numPr>
      </w:pPr>
      <w:r>
        <w:t xml:space="preserve">fact_sales : 1 000 000 lignes réelles dans le modèle Power BI. Les fichiers CSV fournis pour l’analyse hors-Power BI (échantillon de vérification) ne contiennent que 400 000 lignes (40% du volume réel) — voir encadré ci-dessous, erreur de comparaison à ne pas reproduire.</w:t>
      </w:r>
    </w:p>
    <w:p>
      <w:pPr>
        <w:numPr>
          <w:ilvl w:val="0"/>
          <w:numId w:val="1013"/>
        </w:numPr>
      </w:pPr>
      <w:r>
        <w:t xml:space="preserve">dim_customers : 100 000 clients, 10 segments (customer_segment)</w:t>
      </w:r>
    </w:p>
    <w:p>
      <w:pPr>
        <w:numPr>
          <w:ilvl w:val="0"/>
          <w:numId w:val="1013"/>
        </w:numPr>
      </w:pPr>
      <w:r>
        <w:t xml:space="preserve">dim_products : 210 produits, 6 catégories</w:t>
      </w:r>
    </w:p>
    <w:p>
      <w:pPr>
        <w:numPr>
          <w:ilvl w:val="0"/>
          <w:numId w:val="1013"/>
        </w:numPr>
      </w:pPr>
      <w:r>
        <w:t xml:space="preserve">dim_stores : 500 magasins, 3 types (store_type)</w:t>
      </w:r>
    </w:p>
    <w:p>
      <w:pPr>
        <w:numPr>
          <w:ilvl w:val="0"/>
          <w:numId w:val="1013"/>
        </w:numPr>
      </w:pPr>
      <w:r>
        <w:t xml:space="preserve">dim_salespersons : 2 000 commerciaux, 4 rôles (salesperson_role)</w:t>
      </w:r>
    </w:p>
    <w:p>
      <w:pPr>
        <w:numPr>
          <w:ilvl w:val="0"/>
          <w:numId w:val="1013"/>
        </w:numPr>
      </w:pPr>
      <w:r>
        <w:t xml:space="preserve">dim_campaigns : 50 campagnes</w:t>
      </w:r>
    </w:p>
    <w:p>
      <w:pPr>
        <w:numPr>
          <w:ilvl w:val="0"/>
          <w:numId w:val="1013"/>
        </w:numPr>
      </w:pPr>
      <w:r>
        <w:t xml:space="preserve">dim_dates : 366 jours, année 2024 uniquement (pas de 2023 ni 2025)</w:t>
      </w:r>
    </w:p>
    <w:bookmarkStart w:id="21" w:name="Xc3a9eb1852be1c0433e4ed289648e7ad35c2c47"/>
    <w:p>
      <w:pPr>
        <w:pStyle w:val="Heading3"/>
      </w:pPr>
      <w:r>
        <w:t xml:space="preserve">Encadré — l’erreur de comparaison d’échantillon</w:t>
      </w:r>
    </w:p>
    <w:p>
      <w:pPr>
        <w:pStyle w:val="FirstParagraph"/>
      </w:pPr>
      <w:r>
        <w:rPr>
          <w:iCs/>
          <w:i/>
        </w:rPr>
        <w:t xml:space="preserve">Au tout début de l’audit, un écart a été relevé entre la volumétrie annoncée (1M lignes) et celle des fichiers CSV fournis (400K lignes), laissant croire à un bug de duplication dans le modèle. Vérification faite : COUNTROWS(fact_sales) = 1 000 000 dans le vrai modèle Power BI, et [CA Total] non filtré = 2,75 Md€. Le ratio exact entre les deux jeux de données est de 2,5 (1 000 000 / 400 000), confirmé identique sur plusieurs métriques (CA total, CA par campagne). Les fichiers CSV du projet ne sont donc qu’un échantillon de vérification à 40%, pas le contenu réel du modèle. Aucune duplication, aucun bug — mais un point de vigilance méthodologique : ne jamais comparer un chiffre du modèle réel à un chiffre recalculé sur un échantillon sans vérifier au préalable qu’ils portent sur le même volume.</w:t>
      </w:r>
    </w:p>
    <w:bookmarkEnd w:id="21"/>
    <w:bookmarkEnd w:id="22"/>
    <w:bookmarkStart w:id="23" w:name="rôle-et-clés-de-chaque-dimension"/>
    <w:p>
      <w:pPr>
        <w:pStyle w:val="Heading2"/>
      </w:pPr>
      <w:r>
        <w:t xml:space="preserve">1.2 Rôle et clés de chaque dimension</w:t>
      </w:r>
    </w:p>
    <w:p>
      <w:pPr>
        <w:numPr>
          <w:ilvl w:val="0"/>
          <w:numId w:val="1014"/>
        </w:numPr>
      </w:pPr>
      <w:r>
        <w:t xml:space="preserve">dim_customers : customer_sk (PK) — attention, customer_segment ne reflète probablement pas un vrai calcul comportemental (RFM), voir section 6.</w:t>
      </w:r>
    </w:p>
    <w:p>
      <w:pPr>
        <w:numPr>
          <w:ilvl w:val="0"/>
          <w:numId w:val="1014"/>
        </w:numPr>
      </w:pPr>
      <w:r>
        <w:t xml:space="preserve">dim_products : product_sk (PK), product_id (clé métier). product_name n’est PAS unique — voir section 2.</w:t>
      </w:r>
    </w:p>
    <w:p>
      <w:pPr>
        <w:numPr>
          <w:ilvl w:val="0"/>
          <w:numId w:val="1014"/>
        </w:numPr>
      </w:pPr>
      <w:r>
        <w:t xml:space="preserve">dim_stores : store_sk (PK), store_id (clé métier). store_name n’est PAS unique — structure de type franchise (50 enseignes, ~10 magasins chacune), voir section 2.</w:t>
      </w:r>
    </w:p>
    <w:p>
      <w:pPr>
        <w:numPr>
          <w:ilvl w:val="0"/>
          <w:numId w:val="1014"/>
        </w:numPr>
      </w:pPr>
      <w:r>
        <w:t xml:space="preserve">dim_salespersons : salesperson_sk (PK), salesperson_id (clé métier). salesperson_name n’est PAS unique — 21 homonymes sur 2000, voir section 2.</w:t>
      </w:r>
    </w:p>
    <w:p>
      <w:pPr>
        <w:numPr>
          <w:ilvl w:val="0"/>
          <w:numId w:val="1014"/>
        </w:numPr>
      </w:pPr>
      <w:r>
        <w:t xml:space="preserve">dim_campaigns : campaign_sk (PK), campaign_id (clé métier). campaign_name EST unique (50 valeurs distinctes, vérifié) — aucune désambiguïsation nécessaire ici.</w:t>
      </w:r>
    </w:p>
    <w:p>
      <w:pPr>
        <w:numPr>
          <w:ilvl w:val="0"/>
          <w:numId w:val="1014"/>
        </w:numPr>
      </w:pPr>
      <w:r>
        <w:t xml:space="preserve">dim_dates : date_sk (PK), utilisée par fact_sales ET par dim_campaigns (start_date_sk / end_date_sk) — source de l’ambiguïté de modélisation traitée en section 4.</w:t>
      </w:r>
    </w:p>
    <w:bookmarkEnd w:id="23"/>
    <w:bookmarkEnd w:id="24"/>
    <w:bookmarkStart w:id="37" w:name="historique-des-corrections-bugs-dax"/>
    <w:p>
      <w:pPr>
        <w:pStyle w:val="Heading1"/>
      </w:pPr>
      <w:r>
        <w:t xml:space="preserve">2. Historique des corrections — bugs DAX</w:t>
      </w:r>
    </w:p>
    <w:p>
      <w:pPr>
        <w:pStyle w:val="FirstParagraph"/>
      </w:pPr>
      <w:r>
        <w:t xml:space="preserve">Chaque correctif ci-dessous a été identifié par recoupement systématique entre les exports du dashboard et un recalcul indépendant sur les données sources — pas par simple lecture du code. C’est cette méthode de vérification croisée, plus que les corrections elles-mêmes, qui constitue la vraie valeur méthodologique de cet audit.</w:t>
      </w:r>
    </w:p>
    <w:bookmarkStart w:id="25" w:name="Xc8dc706b8207ea6e9846d47f39b35536526b4ec"/>
    <w:p>
      <w:pPr>
        <w:pStyle w:val="Heading2"/>
      </w:pPr>
      <w:r>
        <w:t xml:space="preserve">2.1 M09 — CA Campagne (renommée CA Campagnes Connues)</w:t>
      </w:r>
    </w:p>
    <w:p>
      <w:pPr>
        <w:pStyle w:val="FirstParagraph"/>
      </w:pPr>
      <w:r>
        <w:t xml:space="preserve">Symptôme : la mesure renvoyait la même valeur (2,75 Md€, le grand total) pour les 50 campagnes, au lieu d’un CA distinct par campagne.</w:t>
      </w:r>
    </w:p>
    <w:p>
      <w:pPr>
        <w:pStyle w:val="SourceCode"/>
      </w:pPr>
      <w:r>
        <w:rPr>
          <w:rStyle w:val="VerbatimChar"/>
        </w:rPr>
        <w:t xml:space="preserve">CA Campagne =</w:t>
      </w:r>
      <w:r>
        <w:br/>
      </w:r>
      <w:r>
        <w:rPr>
          <w:rStyle w:val="VerbatimChar"/>
        </w:rPr>
        <w:t xml:space="preserve">CALCULATE(</w:t>
      </w:r>
      <w:r>
        <w:br/>
      </w:r>
      <w:r>
        <w:rPr>
          <w:rStyle w:val="VerbatimChar"/>
        </w:rPr>
        <w:t xml:space="preserve">    [CA Total],</w:t>
      </w:r>
      <w:r>
        <w:br/>
      </w:r>
      <w:r>
        <w:rPr>
          <w:rStyle w:val="VerbatimChar"/>
        </w:rPr>
        <w:t xml:space="preserve">    NOT ISBLANK(dim_campaigns[campaign_name])</w:t>
      </w:r>
      <w:r>
        <w:br/>
      </w:r>
      <w:r>
        <w:rPr>
          <w:rStyle w:val="VerbatimChar"/>
        </w:rPr>
        <w:t xml:space="preserve">)</w:t>
      </w:r>
    </w:p>
    <w:p>
      <w:pPr>
        <w:pStyle w:val="FirstParagraph"/>
      </w:pPr>
      <w:r>
        <w:t xml:space="preserve">Cause : un argument de filtre CALCULATE portant sur une colonne REMPLACE le contexte de filtre existant sur cette colonne au lieu de s’y ajouter. Le filtre du visuel (campaign_name = X) était donc écrasé par le filtre NOT ISBLANK (qui autorise implicitement les 50 campagnes), d’où le grand total partout.</w:t>
      </w:r>
    </w:p>
    <w:p>
      <w:pPr>
        <w:pStyle w:val="BodyText"/>
      </w:pPr>
      <w:r>
        <w:rPr>
          <w:bCs/>
          <w:b/>
        </w:rPr>
        <w:t xml:space="preserve">Correctif : ajout de KEEPFILTERS pour transformer le remplacement en intersection.</w:t>
      </w:r>
    </w:p>
    <w:p>
      <w:pPr>
        <w:pStyle w:val="SourceCode"/>
      </w:pPr>
      <w:r>
        <w:rPr>
          <w:rStyle w:val="VerbatimChar"/>
        </w:rPr>
        <w:t xml:space="preserve">CA Campagnes Connues =</w:t>
      </w:r>
      <w:r>
        <w:br/>
      </w:r>
      <w:r>
        <w:rPr>
          <w:rStyle w:val="VerbatimChar"/>
        </w:rPr>
        <w:t xml:space="preserve">CALCULATE(</w:t>
      </w:r>
      <w:r>
        <w:br/>
      </w:r>
      <w:r>
        <w:rPr>
          <w:rStyle w:val="VerbatimChar"/>
        </w:rPr>
        <w:t xml:space="preserve">    [CA Total],</w:t>
      </w:r>
      <w:r>
        <w:br/>
      </w:r>
      <w:r>
        <w:rPr>
          <w:rStyle w:val="VerbatimChar"/>
        </w:rPr>
        <w:t xml:space="preserve">    KEEPFILTERS(NOT ISBLANK(dim_campaigns[campaign_name]))</w:t>
      </w:r>
      <w:r>
        <w:br/>
      </w:r>
      <w:r>
        <w:rPr>
          <w:rStyle w:val="VerbatimChar"/>
        </w:rPr>
        <w:t xml:space="preserve">)</w:t>
      </w:r>
    </w:p>
    <w:p>
      <w:pPr>
        <w:pStyle w:val="FirstParagraph"/>
      </w:pPr>
      <w:r>
        <w:t xml:space="preserve">Note : aucune ligne de fact_sales n’a de campaign_sk manquant sur ce dataset — cette mesure est donc une protection défensive (bonne pratique DWH), non déclenchée aujourd’hui mais utile si le dataset évolue. À documenter comme tel, pas comme correction d’un problème réellement rencontré.</w:t>
      </w:r>
    </w:p>
    <w:bookmarkEnd w:id="25"/>
    <w:bookmarkStart w:id="28" w:name="X8fbcd22538536059d6b7d9f7dd2958472522b49"/>
    <w:p>
      <w:pPr>
        <w:pStyle w:val="Heading2"/>
      </w:pPr>
      <w:r>
        <w:t xml:space="preserve">2.2 M12/M13 — Homonymie des commerciaux (salesperson_name)</w:t>
      </w:r>
    </w:p>
    <w:p>
      <w:pPr>
        <w:pStyle w:val="FirstParagraph"/>
      </w:pPr>
      <w:r>
        <w:t xml:space="preserve">Découverte : 21 noms sur 2000 commerciaux sont des homonymes (ex. 2 personnes différentes nommées « William Clark », salesperson_sk 1203 et 1305 ; 3 personnes nommées « Michael Davis », sk 90/896/1597).</w:t>
      </w:r>
    </w:p>
    <w:bookmarkStart w:id="26" w:name="Xa222146a37370149fd22342edcb9df9e0bcfbb0"/>
    <w:p>
      <w:pPr>
        <w:pStyle w:val="Heading3"/>
      </w:pPr>
      <w:r>
        <w:t xml:space="preserve">M12 — CA par Commercial (renommée CA Moyen par Commercial)</w:t>
      </w:r>
    </w:p>
    <w:p>
      <w:pPr>
        <w:pStyle w:val="SourceCode"/>
      </w:pPr>
      <w:r>
        <w:rPr>
          <w:rStyle w:val="VerbatimChar"/>
        </w:rPr>
        <w:t xml:space="preserve">CA par Commercial =</w:t>
      </w:r>
      <w:r>
        <w:br/>
      </w:r>
      <w:r>
        <w:rPr>
          <w:rStyle w:val="VerbatimChar"/>
        </w:rPr>
        <w:t xml:space="preserve">DIVIDE([CA Total], DISTINCTCOUNT(fact_sales[salesperson_sk]), 0)</w:t>
      </w:r>
    </w:p>
    <w:p>
      <w:pPr>
        <w:pStyle w:val="FirstParagraph"/>
      </w:pPr>
      <w:r>
        <w:t xml:space="preserve">La formule elle-même était correcte. Le bug apparaissait uniquement quand un visuel groupait par salesperson_name : deux personnes distinctes (même nom) étaient fusionnées sous une seule ligne visuelle, avec CA Total sommé correctement mais DISTINCTCOUNT comptant 2 — donc CA par Commercial divisé par 2 à tort pour ces cas précis (vérifié sur William Clark : CA affiché 1 315 713€ vs CA Total réel 2 631 426€, ratio exact de 2).</w:t>
      </w:r>
    </w:p>
    <w:bookmarkEnd w:id="26"/>
    <w:bookmarkStart w:id="27" w:name="m13-meilleur-commercial"/>
    <w:p>
      <w:pPr>
        <w:pStyle w:val="Heading3"/>
      </w:pPr>
      <w:r>
        <w:t xml:space="preserve">M13 — Meilleur Commercial</w:t>
      </w:r>
    </w:p>
    <w:p>
      <w:pPr>
        <w:pStyle w:val="SourceCode"/>
      </w:pPr>
      <w:r>
        <w:rPr>
          <w:rStyle w:val="VerbatimChar"/>
        </w:rPr>
        <w:t xml:space="preserve">Meilleur Commercial =</w:t>
      </w:r>
      <w:r>
        <w:br/>
      </w:r>
      <w:r>
        <w:rPr>
          <w:rStyle w:val="VerbatimChar"/>
        </w:rPr>
        <w:t xml:space="preserve">CALCULATE(</w:t>
      </w:r>
      <w:r>
        <w:br/>
      </w:r>
      <w:r>
        <w:rPr>
          <w:rStyle w:val="VerbatimChar"/>
        </w:rPr>
        <w:t xml:space="preserve">    FIRSTNONBLANK(dim_salespersons[salesperson_name], 1),</w:t>
      </w:r>
      <w:r>
        <w:br/>
      </w:r>
      <w:r>
        <w:rPr>
          <w:rStyle w:val="VerbatimChar"/>
        </w:rPr>
        <w:t xml:space="preserve">    TOPN(1, SUMMARIZE(fact_sales, dim_salespersons[salesperson_name], "CA", [CA Total]), [CA], DESC)</w:t>
      </w:r>
      <w:r>
        <w:br/>
      </w:r>
      <w:r>
        <w:rPr>
          <w:rStyle w:val="VerbatimChar"/>
        </w:rPr>
        <w:t xml:space="preserve">)</w:t>
      </w:r>
    </w:p>
    <w:p>
      <w:pPr>
        <w:pStyle w:val="FirstParagraph"/>
      </w:pPr>
      <w:r>
        <w:t xml:space="preserve">Impact plus grave : SUMMARIZE regroupait par salesperson_name, fusionnant le CA des 3 « Michael Davis » (532 879€ + 607 558€ + 482 518€ = 1 622 955€ cumulés), ce qui dépassait largement le vrai meilleur vendeur individuel (Nicole Simpson, sk 1934, 737 804€ sur le même échantillon). La mesure désignait donc un artefact de fusion, pas une vraie personne.</w:t>
      </w:r>
    </w:p>
    <w:p>
      <w:pPr>
        <w:pStyle w:val="BodyText"/>
      </w:pPr>
      <w:r>
        <w:rPr>
          <w:bCs/>
          <w:b/>
        </w:rPr>
        <w:t xml:space="preserve">Correctif commun aux deux mesures : regrouper sur la clé unique salesperson_sk (jamais salesperson_name seul), et n’afficher le nom qu’au moment de la restitution finale, jamais comme axe de regroupement.</w:t>
      </w:r>
    </w:p>
    <w:p>
      <w:pPr>
        <w:pStyle w:val="SourceCode"/>
      </w:pPr>
      <w:r>
        <w:rPr>
          <w:rStyle w:val="VerbatimChar"/>
        </w:rPr>
        <w:t xml:space="preserve">Meilleur Commercial =</w:t>
      </w:r>
      <w:r>
        <w:br/>
      </w:r>
      <w:r>
        <w:rPr>
          <w:rStyle w:val="VerbatimChar"/>
        </w:rPr>
        <w:t xml:space="preserve">VAR TopSK =</w:t>
      </w:r>
      <w:r>
        <w:br/>
      </w:r>
      <w:r>
        <w:rPr>
          <w:rStyle w:val="VerbatimChar"/>
        </w:rPr>
        <w:t xml:space="preserve">    CALCULATE(</w:t>
      </w:r>
      <w:r>
        <w:br/>
      </w:r>
      <w:r>
        <w:rPr>
          <w:rStyle w:val="VerbatimChar"/>
        </w:rPr>
        <w:t xml:space="preserve">        FIRSTNONBLANK(dim_salespersons[salesperson_sk], 1),</w:t>
      </w:r>
      <w:r>
        <w:br/>
      </w:r>
      <w:r>
        <w:rPr>
          <w:rStyle w:val="VerbatimChar"/>
        </w:rPr>
        <w:t xml:space="preserve">        TOPN(</w:t>
      </w:r>
      <w:r>
        <w:br/>
      </w:r>
      <w:r>
        <w:rPr>
          <w:rStyle w:val="VerbatimChar"/>
        </w:rPr>
        <w:t xml:space="preserve">            1,</w:t>
      </w:r>
      <w:r>
        <w:br/>
      </w:r>
      <w:r>
        <w:rPr>
          <w:rStyle w:val="VerbatimChar"/>
        </w:rPr>
        <w:t xml:space="preserve">            SUMMARIZE(fact_sales, dim_salespersons[salesperson_sk], "CA", [CA Total]),</w:t>
      </w:r>
      <w:r>
        <w:br/>
      </w:r>
      <w:r>
        <w:rPr>
          <w:rStyle w:val="VerbatimChar"/>
        </w:rPr>
        <w:t xml:space="preserve">            [CA], DESC,</w:t>
      </w:r>
      <w:r>
        <w:br/>
      </w:r>
      <w:r>
        <w:rPr>
          <w:rStyle w:val="VerbatimChar"/>
        </w:rPr>
        <w:t xml:space="preserve">            dim_salespersons[salesperson_sk], ASC</w:t>
      </w:r>
      <w:r>
        <w:br/>
      </w:r>
      <w:r>
        <w:rPr>
          <w:rStyle w:val="VerbatimChar"/>
        </w:rPr>
        <w:t xml:space="preserve">        )</w:t>
      </w:r>
      <w:r>
        <w:br/>
      </w:r>
      <w:r>
        <w:rPr>
          <w:rStyle w:val="VerbatimChar"/>
        </w:rPr>
        <w:t xml:space="preserve">    )</w:t>
      </w:r>
      <w:r>
        <w:br/>
      </w:r>
      <w:r>
        <w:rPr>
          <w:rStyle w:val="VerbatimChar"/>
        </w:rPr>
        <w:t xml:space="preserve">RETURN</w:t>
      </w:r>
      <w:r>
        <w:br/>
      </w:r>
      <w:r>
        <w:rPr>
          <w:rStyle w:val="VerbatimChar"/>
        </w:rPr>
        <w:t xml:space="preserve">    LOOKUPVALUE(dim_salespersons[salesperson_name], dim_salespersons[salesperson_sk], TopSK)</w:t>
      </w:r>
      <w:r>
        <w:br/>
      </w:r>
      <w:r>
        <w:rPr>
          <w:rStyle w:val="VerbatimChar"/>
        </w:rPr>
        <w:t xml:space="preserve">    &amp; " (" &amp; LOOKUPVALUE(dim_salespersons[salesperson_id], dim_salespersons[salesperson_sk], TopSK) &amp; ")"</w:t>
      </w:r>
    </w:p>
    <w:p>
      <w:pPr>
        <w:pStyle w:val="FirstParagraph"/>
      </w:pPr>
      <w:r>
        <w:t xml:space="preserve">Correctif complémentaire, structurel (Power Query, pas DAX) : colonne salesperson_display = salesperson_name &amp; ” (” &amp; salesperson_id &amp;</w:t>
      </w:r>
      <w:r>
        <w:t xml:space="preserve"> </w:t>
      </w:r>
      <w:r>
        <w:t xml:space="preserve">“</w:t>
      </w:r>
      <w:r>
        <w:t xml:space="preserve">)</w:t>
      </w:r>
      <w:r>
        <w:t xml:space="preserve">”</w:t>
      </w:r>
      <w:r>
        <w:t xml:space="preserve"> </w:t>
      </w:r>
      <w:r>
        <w:t xml:space="preserve">sur dim_salespersons, utilisée dans tous les visuels à la place de salesperson_name. Résultat vérifié : Meilleur Commercial = Nicole Simpson (SP01934), cohérent avec le calcul indépendant.</w:t>
      </w:r>
    </w:p>
    <w:p>
      <w:pPr>
        <w:pStyle w:val="BodyText"/>
      </w:pPr>
      <w:r>
        <w:t xml:space="preserve">Résultat final après fusion des deux variantes de mesure (une avec IF/HASONEVALUE, une sans) en une seule mesure canonique, pour éviter la confusion de maintenance.</w:t>
      </w:r>
    </w:p>
    <w:bookmarkEnd w:id="27"/>
    <w:bookmarkEnd w:id="28"/>
    <w:bookmarkStart w:id="29" w:name="X84bb980f5b27ffa420abb421e343c6324bbbdac"/>
    <w:p>
      <w:pPr>
        <w:pStyle w:val="Heading2"/>
      </w:pPr>
      <w:r>
        <w:t xml:space="preserve">2.3 Homonymie des produits (product_name) et des magasins (store_name)</w:t>
      </w:r>
    </w:p>
    <w:p>
      <w:pPr>
        <w:pStyle w:val="FirstParagraph"/>
      </w:pPr>
      <w:r>
        <w:t xml:space="preserve">Même famille de bug que 2.2, détectée en creusant le graphique Top 10 Produits : « Running Shoes » regroupait 4 produits distincts (product_sk 95/184/193/199 — 3 marques différentes, 2 catégories différentes : Clothing et Sports &amp; Outdoors). CA individuel de chacun ≈ 5,1-5,4M€ (échantillon 40%), aucun ne figurant dans le vrai top 10 ; cumulés, ils totalisaient 20,9M€, écrasant artificiellement le vrai n°1 (product_sk 154, 5,6M€).</w:t>
      </w:r>
    </w:p>
    <w:p>
      <w:pPr>
        <w:pStyle w:val="BodyText"/>
      </w:pPr>
      <w:r>
        <w:t xml:space="preserve">Correctif : colonne product_display = product_name &amp; ” (” &amp; product_id &amp;</w:t>
      </w:r>
      <w:r>
        <w:t xml:space="preserve"> </w:t>
      </w:r>
      <w:r>
        <w:t xml:space="preserve">“</w:t>
      </w:r>
      <w:r>
        <w:t xml:space="preserve">)</w:t>
      </w:r>
      <w:r>
        <w:t xml:space="preserve">”</w:t>
      </w:r>
      <w:r>
        <w:t xml:space="preserve"> </w:t>
      </w:r>
      <w:r>
        <w:t xml:space="preserve">en Power Query — brand seul ne suffit pas (2 « Running Shoes » de marque Puma existent, product_sk 95 et 199).</w:t>
      </w:r>
    </w:p>
    <w:p>
      <w:pPr>
        <w:pStyle w:val="BodyText"/>
      </w:pPr>
      <w:r>
        <w:t xml:space="preserve">dim_stores[store_name] présente une homonymie bien plus large mais de nature différente : 500 magasins pour seulement 50 noms distincts (~10 occurrences chacun) — cohérent avec une structure de franchise/enseigne, pas un accident de génération aléatoire. Pas d’impact sur les visuels construits (la carte géographique utilise store_location, qui agrège légitimement plusieurs magasins par ville). Colonne store_display = store_name &amp; ” (” &amp; store_id &amp;</w:t>
      </w:r>
      <w:r>
        <w:t xml:space="preserve"> </w:t>
      </w:r>
      <w:r>
        <w:t xml:space="preserve">“</w:t>
      </w:r>
      <w:r>
        <w:t xml:space="preserve">)</w:t>
      </w:r>
      <w:r>
        <w:t xml:space="preserve">”</w:t>
      </w:r>
      <w:r>
        <w:t xml:space="preserve"> </w:t>
      </w:r>
      <w:r>
        <w:t xml:space="preserve">créée en prévention pour un futur visuel qui classerait des magasins individuellement.</w:t>
      </w:r>
    </w:p>
    <w:bookmarkEnd w:id="29"/>
    <w:bookmarkStart w:id="31" w:name="roi-campagne-double-comptage-par-100"/>
    <w:p>
      <w:pPr>
        <w:pStyle w:val="Heading2"/>
      </w:pPr>
      <w:r>
        <w:t xml:space="preserve">2.4 ROI Campagne % — double comptage par 100</w:t>
      </w:r>
    </w:p>
    <w:p>
      <w:pPr>
        <w:pStyle w:val="SourceCode"/>
      </w:pPr>
      <w:r>
        <w:rPr>
          <w:rStyle w:val="VerbatimChar"/>
        </w:rPr>
        <w:t xml:space="preserve">ROI Campagne % =</w:t>
      </w:r>
      <w:r>
        <w:br/>
      </w:r>
      <w:r>
        <w:rPr>
          <w:rStyle w:val="VerbatimChar"/>
        </w:rPr>
        <w:t xml:space="preserve">VAR CA_Genere = [CA Total]</w:t>
      </w:r>
      <w:r>
        <w:br/>
      </w:r>
      <w:r>
        <w:rPr>
          <w:rStyle w:val="VerbatimChar"/>
        </w:rPr>
        <w:t xml:space="preserve">VAR Budget_Camp = SUMX(RELATEDTABLE(dim_campaigns), dim_campaigns[campaign_budget])</w:t>
      </w:r>
      <w:r>
        <w:br/>
      </w:r>
      <w:r>
        <w:rPr>
          <w:rStyle w:val="VerbatimChar"/>
        </w:rPr>
        <w:t xml:space="preserve">RETURN</w:t>
      </w:r>
      <w:r>
        <w:br/>
      </w:r>
      <w:r>
        <w:rPr>
          <w:rStyle w:val="VerbatimChar"/>
        </w:rPr>
        <w:t xml:space="preserve">DIVIDE(CA_Genere - Budget_Camp, Budget_Camp, 0) * 100</w:t>
      </w:r>
    </w:p>
    <w:p>
      <w:pPr>
        <w:pStyle w:val="FirstParagraph"/>
      </w:pPr>
      <w:r>
        <w:t xml:space="preserve">Symptôme observé au niveau agrégé (toutes campagnes, carte sans filtre) : 957 765,98% affiché au lieu d’une valeur exploitable. Cause : le DAX multiplie déjà par 100, et le champ était en plus formaté en</w:t>
      </w:r>
      <w:r>
        <w:t xml:space="preserve"> </w:t>
      </w:r>
      <w:r>
        <w:t xml:space="preserve">“</w:t>
      </w:r>
      <w:r>
        <w:t xml:space="preserve">Pourcentage</w:t>
      </w:r>
      <w:r>
        <w:t xml:space="preserve">”</w:t>
      </w:r>
      <w:r>
        <w:t xml:space="preserve"> </w:t>
      </w:r>
      <w:r>
        <w:t xml:space="preserve">natif (qui multiplie une seconde fois par 100 à l’affichage) — double comptage x100.</w:t>
      </w:r>
    </w:p>
    <w:p>
      <w:pPr>
        <w:pStyle w:val="BodyText"/>
      </w:pPr>
      <w:r>
        <w:t xml:space="preserve">**Correctif : retirer le *100 du DAX, laisser le format</w:t>
      </w:r>
      <w:r>
        <w:t xml:space="preserve"> </w:t>
      </w:r>
      <w:r>
        <w:t xml:space="preserve">“</w:t>
      </w:r>
      <w:r>
        <w:t xml:space="preserve">Pourcentage</w:t>
      </w:r>
      <w:r>
        <w:t xml:space="preserve">”</w:t>
      </w:r>
      <w:r>
        <w:t xml:space="preserve"> </w:t>
      </w:r>
      <w:r>
        <w:t xml:space="preserve">natif faire la conversion une seule fois. Garde-fou HASONEVALUE ajouté pour bloquer l’affichage au niveau agrégé (où le ratio CA-global/budget-global n’a pas de sens métier direct).**</w:t>
      </w:r>
    </w:p>
    <w:p>
      <w:pPr>
        <w:pStyle w:val="SourceCode"/>
      </w:pPr>
      <w:r>
        <w:rPr>
          <w:rStyle w:val="VerbatimChar"/>
        </w:rPr>
        <w:t xml:space="preserve">ROI Campagne =</w:t>
      </w:r>
      <w:r>
        <w:br/>
      </w:r>
      <w:r>
        <w:rPr>
          <w:rStyle w:val="VerbatimChar"/>
        </w:rPr>
        <w:t xml:space="preserve">VAR CA_Genere = [CA Total]</w:t>
      </w:r>
      <w:r>
        <w:br/>
      </w:r>
      <w:r>
        <w:rPr>
          <w:rStyle w:val="VerbatimChar"/>
        </w:rPr>
        <w:t xml:space="preserve">VAR Budget_Camp = SUMX(RELATEDTABLE(dim_campaigns), dim_campaigns[campaign_budget])</w:t>
      </w:r>
      <w:r>
        <w:br/>
      </w:r>
      <w:r>
        <w:rPr>
          <w:rStyle w:val="VerbatimChar"/>
        </w:rPr>
        <w:t xml:space="preserve">RETURN</w:t>
      </w:r>
      <w:r>
        <w:br/>
      </w:r>
      <w:r>
        <w:rPr>
          <w:rStyle w:val="VerbatimChar"/>
        </w:rPr>
        <w:t xml:space="preserve">    IF(</w:t>
      </w:r>
      <w:r>
        <w:br/>
      </w:r>
      <w:r>
        <w:rPr>
          <w:rStyle w:val="VerbatimChar"/>
        </w:rPr>
        <w:t xml:space="preserve">        HASONEVALUE(dim_campaigns[campaign_name]),</w:t>
      </w:r>
      <w:r>
        <w:br/>
      </w:r>
      <w:r>
        <w:rPr>
          <w:rStyle w:val="VerbatimChar"/>
        </w:rPr>
        <w:t xml:space="preserve">        DIVIDE(CA_Genere - Budget_Camp, Budget_Camp, BLANK()),</w:t>
      </w:r>
      <w:r>
        <w:br/>
      </w:r>
      <w:r>
        <w:rPr>
          <w:rStyle w:val="VerbatimChar"/>
        </w:rPr>
        <w:t xml:space="preserve">        BLANK()</w:t>
      </w:r>
      <w:r>
        <w:br/>
      </w:r>
      <w:r>
        <w:rPr>
          <w:rStyle w:val="VerbatimChar"/>
        </w:rPr>
        <w:t xml:space="preserve">    )</w:t>
      </w:r>
    </w:p>
    <w:bookmarkStart w:id="30" w:name="X5af2e4f815d2b891d09d3c6e93bf2c1d63e9db7"/>
    <w:p>
      <w:pPr>
        <w:pStyle w:val="Heading3"/>
      </w:pPr>
      <w:r>
        <w:t xml:space="preserve">Point de vigilance — erreur de diagnostic commise et corrigée en cours de session</w:t>
      </w:r>
    </w:p>
    <w:p>
      <w:pPr>
        <w:pStyle w:val="FirstParagraph"/>
      </w:pPr>
      <w:r>
        <w:rPr>
          <w:iCs/>
          <w:i/>
        </w:rPr>
        <w:t xml:space="preserve">Une confusion a eu lieu entre deux niveaux d’analyse différents : le bug de double comptage (réel, validé) concernait uniquement le niveau agrégé. Une extrapolation erronée a ensuite fait croire, à tort, que les valeurs par campagne individuelle (ex. 52 028% pour Green Weekend Deals) souffraient du même bug et devaient être divisées par 100. Vérification manuelle refaite : 52 028% est mathématiquement correct pour cette campagne (budget de 105 815€, largement inférieur au CA attribué de ≈55M€ — un rapport d’échelle de 1 pour 520 justifie un pourcentage à 5 chiffres). Aucune correction supplémentaire n’était donc nécessaire sur les valeurs par campagne — leçon retenue : ne jamais généraliser un diagnostic d’un niveau de granularité à un autre sans revérifier.</w:t>
      </w:r>
    </w:p>
    <w:p>
      <w:pPr>
        <w:pStyle w:val="BodyText"/>
      </w:pPr>
      <w:r>
        <w:t xml:space="preserve">Limite méthodologique sous-jacente, à documenter : ce ROI mesure le rapport CA-attribué / budget, pas l’incrément de CA réellement causé par la campagne (effet marginal). Le modèle de données attribue tout le CA d’une période à la campagne active, ce qui explique mécaniquement des valeurs à 5 chiffres — ce n’est pas une erreur de calcul, mais une limite de la méthode d’attribution.</w:t>
      </w:r>
    </w:p>
    <w:p>
      <w:pPr>
        <w:pStyle w:val="BodyText"/>
      </w:pPr>
      <w:r>
        <w:t xml:space="preserve">Mesure complémentaire créée pour la lisibilité dashboard : Multiple de Retour (CA/budget sans soustraction, affiché en format</w:t>
      </w:r>
      <w:r>
        <w:t xml:space="preserve"> </w:t>
      </w:r>
      <w:r>
        <w:t xml:space="preserve">“</w:t>
      </w:r>
      <w:r>
        <w:t xml:space="preserve">521x</w:t>
      </w:r>
      <w:r>
        <w:t xml:space="preserve">”</w:t>
      </w:r>
      <w:r>
        <w:t xml:space="preserve"> </w:t>
      </w:r>
      <w:r>
        <w:t xml:space="preserve">plutôt qu’en pourcentage à 5 chiffres) — même information, présentation plus digeste sur un graphique.</w:t>
      </w:r>
    </w:p>
    <w:p>
      <w:pPr>
        <w:pStyle w:val="SourceCode"/>
      </w:pPr>
      <w:r>
        <w:rPr>
          <w:rStyle w:val="VerbatimChar"/>
        </w:rPr>
        <w:t xml:space="preserve">Multiple de Retour =</w:t>
      </w:r>
      <w:r>
        <w:br/>
      </w:r>
      <w:r>
        <w:rPr>
          <w:rStyle w:val="VerbatimChar"/>
        </w:rPr>
        <w:t xml:space="preserve">VAR CA_Genere = [CA Total]</w:t>
      </w:r>
      <w:r>
        <w:br/>
      </w:r>
      <w:r>
        <w:rPr>
          <w:rStyle w:val="VerbatimChar"/>
        </w:rPr>
        <w:t xml:space="preserve">VAR Budget_Camp = SUMX(RELATEDTABLE(dim_campaigns), dim_campaigns[campaign_budget])</w:t>
      </w:r>
      <w:r>
        <w:br/>
      </w:r>
      <w:r>
        <w:rPr>
          <w:rStyle w:val="VerbatimChar"/>
        </w:rPr>
        <w:t xml:space="preserve">RETURN</w:t>
      </w:r>
      <w:r>
        <w:br/>
      </w:r>
      <w:r>
        <w:rPr>
          <w:rStyle w:val="VerbatimChar"/>
        </w:rPr>
        <w:t xml:space="preserve">    IF(</w:t>
      </w:r>
      <w:r>
        <w:br/>
      </w:r>
      <w:r>
        <w:rPr>
          <w:rStyle w:val="VerbatimChar"/>
        </w:rPr>
        <w:t xml:space="preserve">        HASONEVALUE(dim_campaigns[campaign_name]),</w:t>
      </w:r>
      <w:r>
        <w:br/>
      </w:r>
      <w:r>
        <w:rPr>
          <w:rStyle w:val="VerbatimChar"/>
        </w:rPr>
        <w:t xml:space="preserve">        DIVIDE(CA_Genere, Budget_Camp, BLANK()),</w:t>
      </w:r>
      <w:r>
        <w:br/>
      </w:r>
      <w:r>
        <w:rPr>
          <w:rStyle w:val="VerbatimChar"/>
        </w:rPr>
        <w:t xml:space="preserve">        BLANK()</w:t>
      </w:r>
      <w:r>
        <w:br/>
      </w:r>
      <w:r>
        <w:rPr>
          <w:rStyle w:val="VerbatimChar"/>
        </w:rPr>
        <w:t xml:space="preserve">    )</w:t>
      </w:r>
    </w:p>
    <w:p>
      <w:pPr>
        <w:pStyle w:val="FirstParagraph"/>
      </w:pPr>
      <w:r>
        <w:t xml:space="preserve">Format personnalisé du champ : 0”x” (zéro décimale affichée, type de données resté Décimal)</w:t>
      </w:r>
    </w:p>
    <w:bookmarkEnd w:id="30"/>
    <w:bookmarkEnd w:id="31"/>
    <w:bookmarkStart w:id="32" w:name="Xb63c661df0f2cc488c65d101ce903d884cb8bdb"/>
    <w:p>
      <w:pPr>
        <w:pStyle w:val="Heading2"/>
      </w:pPr>
      <w:r>
        <w:t xml:space="preserve">2.5 M08 — Croissance QoQ % — asymétrie de granularité</w:t>
      </w:r>
    </w:p>
    <w:p>
      <w:pPr>
        <w:pStyle w:val="SourceCode"/>
      </w:pPr>
      <w:r>
        <w:rPr>
          <w:rStyle w:val="VerbatimChar"/>
        </w:rPr>
        <w:t xml:space="preserve">Croissance QoQ % =</w:t>
      </w:r>
      <w:r>
        <w:br/>
      </w:r>
      <w:r>
        <w:rPr>
          <w:rStyle w:val="VerbatimChar"/>
        </w:rPr>
        <w:t xml:space="preserve">VAR CA_Q_Current = [CA Total]</w:t>
      </w:r>
      <w:r>
        <w:br/>
      </w:r>
      <w:r>
        <w:rPr>
          <w:rStyle w:val="VerbatimChar"/>
        </w:rPr>
        <w:t xml:space="preserve">VAR CA_Q_Prev = [CA Trimestre Précédent]</w:t>
      </w:r>
      <w:r>
        <w:br/>
      </w:r>
      <w:r>
        <w:rPr>
          <w:rStyle w:val="VerbatimChar"/>
        </w:rPr>
        <w:t xml:space="preserve">RETURN DIVIDE(CA_Q_Current - CA_Q_Prev, CA_Q_Prev, 0)</w:t>
      </w:r>
    </w:p>
    <w:p>
      <w:pPr>
        <w:pStyle w:val="FirstParagraph"/>
      </w:pPr>
      <w:r>
        <w:t xml:space="preserve">Symptôme : dans une matrice par mois, les 3 mois d’un même trimestre affichaient 3 valeurs QoQ différentes (ex. juil -0,538 / août -0,531 / sept -0,365), alors qu’ils devraient être identiques puisqu’ils appartiennent au même trimestre.</w:t>
      </w:r>
    </w:p>
    <w:p>
      <w:pPr>
        <w:pStyle w:val="BodyText"/>
      </w:pPr>
      <w:r>
        <w:t xml:space="preserve">Cause : CA_Q_Current n’était jamais élargi au trimestre entier — il restait au grain du visuel (1 mois), alors que CA_Q_Prev (via PREVIOUSQUARTER) renvoie systématiquement les 3 mois du trimestre précédent complet. Comparaison structurellement incohérente : 1 mois contre 3 mois.</w:t>
      </w:r>
    </w:p>
    <w:p>
      <w:pPr>
        <w:pStyle w:val="BodyText"/>
      </w:pPr>
      <w:r>
        <w:rPr>
          <w:bCs/>
          <w:b/>
        </w:rPr>
        <w:t xml:space="preserve">Correctif : nouvelle mesure CA Trimestre Courant qui force l’élargissement au trimestre entier contenant le contexte courant, quel que soit le grain d’appel.</w:t>
      </w:r>
    </w:p>
    <w:p>
      <w:pPr>
        <w:pStyle w:val="SourceCode"/>
      </w:pPr>
      <w:r>
        <w:rPr>
          <w:rStyle w:val="VerbatimChar"/>
        </w:rPr>
        <w:t xml:space="preserve">CA Trimestre Courant =</w:t>
      </w:r>
      <w:r>
        <w:br/>
      </w:r>
      <w:r>
        <w:rPr>
          <w:rStyle w:val="VerbatimChar"/>
        </w:rPr>
        <w:t xml:space="preserve">CALCULATE(</w:t>
      </w:r>
      <w:r>
        <w:br/>
      </w:r>
      <w:r>
        <w:rPr>
          <w:rStyle w:val="VerbatimChar"/>
        </w:rPr>
        <w:t xml:space="preserve">    [CA Total],</w:t>
      </w:r>
      <w:r>
        <w:br/>
      </w:r>
      <w:r>
        <w:rPr>
          <w:rStyle w:val="VerbatimChar"/>
        </w:rPr>
        <w:t xml:space="preserve">    DATESBETWEEN(dim_dates[full_date], STARTOFQUARTER(dim_dates[full_date]), ENDOFQUARTER(dim_dates[full_date]))</w:t>
      </w:r>
      <w:r>
        <w:br/>
      </w:r>
      <w:r>
        <w:rPr>
          <w:rStyle w:val="VerbatimChar"/>
        </w:rPr>
        <w:t xml:space="preserve">)</w:t>
      </w:r>
      <w:r>
        <w:br/>
      </w:r>
      <w:r>
        <w:br/>
      </w:r>
      <w:r>
        <w:rPr>
          <w:rStyle w:val="VerbatimChar"/>
        </w:rPr>
        <w:t xml:space="preserve">Croissance QoQ % =</w:t>
      </w:r>
      <w:r>
        <w:br/>
      </w:r>
      <w:r>
        <w:rPr>
          <w:rStyle w:val="VerbatimChar"/>
        </w:rPr>
        <w:t xml:space="preserve">VAR CA_Q_Current = [CA Trimestre Courant]</w:t>
      </w:r>
      <w:r>
        <w:br/>
      </w:r>
      <w:r>
        <w:rPr>
          <w:rStyle w:val="VerbatimChar"/>
        </w:rPr>
        <w:t xml:space="preserve">VAR CA_Q_Prev = [CA Trimestre Précédent]</w:t>
      </w:r>
      <w:r>
        <w:br/>
      </w:r>
      <w:r>
        <w:rPr>
          <w:rStyle w:val="VerbatimChar"/>
        </w:rPr>
        <w:t xml:space="preserve">RETURN DIVIDE(CA_Q_Current - CA_Q_Prev, CA_Q_Prev, BLANK())</w:t>
      </w:r>
    </w:p>
    <w:p>
      <w:pPr>
        <w:pStyle w:val="FirstParagraph"/>
      </w:pPr>
      <w:r>
        <w:t xml:space="preserve">Résultat vérifié après correction : les 3 mois d’un même trimestre affichent bien la même valeur (Q3 = +56,5%, Q4 = -9,1%, Q2 = +68,9%). Note d’analyse : la baisse de Q4 est en partie artificielle, tirée vers le bas par le mois de décembre incomplet (26 jours sur 31) plutôt que par un vrai ralentissement d’activité — à isoler avant présentation en comité.</w:t>
      </w:r>
    </w:p>
    <w:bookmarkEnd w:id="32"/>
    <w:bookmarkStart w:id="33" w:name="Xef44237b39d87cce3d7c498cd6df6fccbb43148"/>
    <w:p>
      <w:pPr>
        <w:pStyle w:val="Heading2"/>
      </w:pPr>
      <w:r>
        <w:t xml:space="preserve">2.6 M06 — Croissance MoM % — nettoyage et garde-fou</w:t>
      </w:r>
    </w:p>
    <w:p>
      <w:pPr>
        <w:pStyle w:val="FirstParagraph"/>
      </w:pPr>
      <w:r>
        <w:t xml:space="preserve">Nettoyage : un COALESCE(DIVIDE(…), BLANK()) enveloppait un DIVIDE dont le 3e argument renvoyait déjà BLANK() en cas de dénominateur nul — strictement redondant, supprimé sans changement de comportement.</w:t>
      </w:r>
    </w:p>
    <w:p>
      <w:pPr>
        <w:pStyle w:val="BodyText"/>
      </w:pPr>
      <w:r>
        <w:rPr>
          <w:bCs/>
          <w:b/>
        </w:rPr>
        <w:t xml:space="preserve">Garde-fou ajouté : la mesure produisait -83,68% en décembre, un chiffre qui aurait pu être lu comme un effondrement d’activité alors qu’il reflète uniquement un mois incomplet (26 jours sur 31). Blocage explicite sur les mois non comparables (janvier, février, décembre) plutôt que d’afficher un chiffre trompeur.</w:t>
      </w:r>
    </w:p>
    <w:p>
      <w:pPr>
        <w:pStyle w:val="SourceCode"/>
      </w:pPr>
      <w:r>
        <w:rPr>
          <w:rStyle w:val="VerbatimChar"/>
        </w:rPr>
        <w:t xml:space="preserve">Croissance MoM % =</w:t>
      </w:r>
      <w:r>
        <w:br/>
      </w:r>
      <w:r>
        <w:rPr>
          <w:rStyle w:val="VerbatimChar"/>
        </w:rPr>
        <w:t xml:space="preserve">VAR CA_Current = [CA Total]</w:t>
      </w:r>
      <w:r>
        <w:br/>
      </w:r>
      <w:r>
        <w:rPr>
          <w:rStyle w:val="VerbatimChar"/>
        </w:rPr>
        <w:t xml:space="preserve">VAR CA_Prev = [CA Mois Précédent]</w:t>
      </w:r>
      <w:r>
        <w:br/>
      </w:r>
      <w:r>
        <w:rPr>
          <w:rStyle w:val="VerbatimChar"/>
        </w:rPr>
        <w:t xml:space="preserve">VAR MoisCourant = SELECTEDVALUE(dim_dates[Mois Tri])</w:t>
      </w:r>
      <w:r>
        <w:br/>
      </w:r>
      <w:r>
        <w:rPr>
          <w:rStyle w:val="VerbatimChar"/>
        </w:rPr>
        <w:t xml:space="preserve">VAR MoisIncomplet = MoisCourant IN {202401, 202402, 202412}</w:t>
      </w:r>
      <w:r>
        <w:br/>
      </w:r>
      <w:r>
        <w:rPr>
          <w:rStyle w:val="VerbatimChar"/>
        </w:rPr>
        <w:t xml:space="preserve">RETURN</w:t>
      </w:r>
      <w:r>
        <w:br/>
      </w:r>
      <w:r>
        <w:rPr>
          <w:rStyle w:val="VerbatimChar"/>
        </w:rPr>
        <w:t xml:space="preserve">    IF(MoisIncomplet, BLANK(), DIVIDE(CA_Current - CA_Prev, CA_Prev, BLANK()))</w:t>
      </w:r>
    </w:p>
    <w:p>
      <w:pPr>
        <w:pStyle w:val="FirstParagraph"/>
      </w:pPr>
      <w:r>
        <w:t xml:space="preserve">Point technique : la première version utilisait dim_dates[Mois Tri] IN {…} en référence de colonne nue (sans agrégation), ce qui provoque une erreur (</w:t>
      </w:r>
      <w:r>
        <w:t xml:space="preserve">“</w:t>
      </w:r>
      <w:r>
        <w:t xml:space="preserve">impossible de déterminer une valeur unique</w:t>
      </w:r>
      <w:r>
        <w:t xml:space="preserve">”</w:t>
      </w:r>
      <w:r>
        <w:t xml:space="preserve">) dès que le contexte contient plusieurs mois simultanément (ex. une carte sans slicer de date). SELECTEDVALUE() résout ce cas en renvoyant BLANK() proprement plutôt que de planter.</w:t>
      </w:r>
    </w:p>
    <w:bookmarkEnd w:id="33"/>
    <w:bookmarkStart w:id="34" w:name="Xfa191ea8f6c9ac05aa1a602dca2e572fb50b037"/>
    <w:p>
      <w:pPr>
        <w:pStyle w:val="Heading2"/>
      </w:pPr>
      <w:r>
        <w:t xml:space="preserve">2.7 M15 — Métrique Dynamique — séparation valeur / format</w:t>
      </w:r>
    </w:p>
    <w:p>
      <w:pPr>
        <w:pStyle w:val="FirstParagraph"/>
      </w:pPr>
      <w:r>
        <w:t xml:space="preserve">Confusion initiale : le texte destiné au format personnalisé dynamique (propriété fx) a été collé par erreur dans le corps de la mesure elle-même — la carte affichait littéralement le texte</w:t>
      </w:r>
      <w:r>
        <w:t xml:space="preserve"> </w:t>
      </w:r>
      <w:r>
        <w:t xml:space="preserve">“</w:t>
      </w:r>
      <w:r>
        <w:t xml:space="preserve">€ #,##0.00</w:t>
      </w:r>
      <w:r>
        <w:t xml:space="preserve">”</w:t>
      </w:r>
      <w:r>
        <w:t xml:space="preserve"> </w:t>
      </w:r>
      <w:r>
        <w:t xml:space="preserve">au lieu d’un montant. Ce sont deux objets distincts dans Power BI : le corps de la mesure calcule la valeur, la propriété fx du panneau Format décide de sa présentation.</w:t>
      </w:r>
    </w:p>
    <w:p>
      <w:pPr>
        <w:pStyle w:val="SourceCode"/>
      </w:pPr>
      <w:r>
        <w:rPr>
          <w:rStyle w:val="VerbatimChar"/>
        </w:rPr>
        <w:t xml:space="preserve">Métrique Dynamique =</w:t>
      </w:r>
      <w:r>
        <w:br/>
      </w:r>
      <w:r>
        <w:rPr>
          <w:rStyle w:val="VerbatimChar"/>
        </w:rPr>
        <w:t xml:space="preserve">VAR Selection = SELECTEDVALUE('Sélecteur Métrique'[Métrique], "CA Total")</w:t>
      </w:r>
      <w:r>
        <w:br/>
      </w:r>
      <w:r>
        <w:rPr>
          <w:rStyle w:val="VerbatimChar"/>
        </w:rPr>
        <w:t xml:space="preserve">RETURN</w:t>
      </w:r>
      <w:r>
        <w:br/>
      </w:r>
      <w:r>
        <w:rPr>
          <w:rStyle w:val="VerbatimChar"/>
        </w:rPr>
        <w:t xml:space="preserve">SWITCH(</w:t>
      </w:r>
      <w:r>
        <w:br/>
      </w:r>
      <w:r>
        <w:rPr>
          <w:rStyle w:val="VerbatimChar"/>
        </w:rPr>
        <w:t xml:space="preserve">    Selection,</w:t>
      </w:r>
      <w:r>
        <w:br/>
      </w:r>
      <w:r>
        <w:rPr>
          <w:rStyle w:val="VerbatimChar"/>
        </w:rPr>
        <w:t xml:space="preserve">    "CA Total", [CA Total],</w:t>
      </w:r>
      <w:r>
        <w:br/>
      </w:r>
      <w:r>
        <w:rPr>
          <w:rStyle w:val="VerbatimChar"/>
        </w:rPr>
        <w:t xml:space="preserve">    "Nb Transactions", [Nb Transactions],</w:t>
      </w:r>
      <w:r>
        <w:br/>
      </w:r>
      <w:r>
        <w:rPr>
          <w:rStyle w:val="VerbatimChar"/>
        </w:rPr>
        <w:t xml:space="preserve">    "Panier Moyen", [Panier Moyen],</w:t>
      </w:r>
      <w:r>
        <w:br/>
      </w:r>
      <w:r>
        <w:rPr>
          <w:rStyle w:val="VerbatimChar"/>
        </w:rPr>
        <w:t xml:space="preserve">    [CA Total]</w:t>
      </w:r>
      <w:r>
        <w:br/>
      </w:r>
      <w:r>
        <w:rPr>
          <w:rStyle w:val="VerbatimChar"/>
        </w:rPr>
        <w:t xml:space="preserve">)</w:t>
      </w:r>
    </w:p>
    <w:p>
      <w:pPr>
        <w:pStyle w:val="FirstParagraph"/>
      </w:pPr>
      <w:r>
        <w:t xml:space="preserve">Propriété Format &gt; fx (décide de la présentation) :</w:t>
      </w:r>
    </w:p>
    <w:p>
      <w:pPr>
        <w:pStyle w:val="SourceCode"/>
      </w:pPr>
      <w:r>
        <w:rPr>
          <w:rStyle w:val="VerbatimChar"/>
        </w:rPr>
        <w:t xml:space="preserve">SWITCH(</w:t>
      </w:r>
      <w:r>
        <w:br/>
      </w:r>
      <w:r>
        <w:rPr>
          <w:rStyle w:val="VerbatimChar"/>
        </w:rPr>
        <w:t xml:space="preserve">    SELECTEDVALUE('Sélecteur Métrique'[Métrique], "CA Total"),</w:t>
      </w:r>
      <w:r>
        <w:br/>
      </w:r>
      <w:r>
        <w:rPr>
          <w:rStyle w:val="VerbatimChar"/>
        </w:rPr>
        <w:t xml:space="preserve">    "CA Total", "€ #,##0.00",</w:t>
      </w:r>
      <w:r>
        <w:br/>
      </w:r>
      <w:r>
        <w:rPr>
          <w:rStyle w:val="VerbatimChar"/>
        </w:rPr>
        <w:t xml:space="preserve">    "Nb Transactions", "#,##0",</w:t>
      </w:r>
      <w:r>
        <w:br/>
      </w:r>
      <w:r>
        <w:rPr>
          <w:rStyle w:val="VerbatimChar"/>
        </w:rPr>
        <w:t xml:space="preserve">    "Panier Moyen", "€ #,##0.00",</w:t>
      </w:r>
      <w:r>
        <w:br/>
      </w:r>
      <w:r>
        <w:rPr>
          <w:rStyle w:val="VerbatimChar"/>
        </w:rPr>
        <w:t xml:space="preserve">    "€ #,##0.00"</w:t>
      </w:r>
      <w:r>
        <w:br/>
      </w:r>
      <w:r>
        <w:rPr>
          <w:rStyle w:val="VerbatimChar"/>
        </w:rPr>
        <w:t xml:space="preserve">)</w:t>
      </w:r>
    </w:p>
    <w:bookmarkEnd w:id="34"/>
    <w:bookmarkStart w:id="35" w:name="X073c449bf35bec3f5c16506a4b6b221d2fc6ad5"/>
    <w:p>
      <w:pPr>
        <w:pStyle w:val="Heading2"/>
      </w:pPr>
      <w:r>
        <w:t xml:space="preserve">2.8 CA Mois En Cours / Tendance Mois En Cours — nouvelles mesures</w:t>
      </w:r>
    </w:p>
    <w:p>
      <w:pPr>
        <w:pStyle w:val="FirstParagraph"/>
      </w:pPr>
      <w:r>
        <w:t xml:space="preserve">Besoin : une carte</w:t>
      </w:r>
      <w:r>
        <w:t xml:space="preserve"> </w:t>
      </w:r>
      <w:r>
        <w:t xml:space="preserve">“</w:t>
      </w:r>
      <w:r>
        <w:t xml:space="preserve">mois en cours</w:t>
      </w:r>
      <w:r>
        <w:t xml:space="preserve">”</w:t>
      </w:r>
      <w:r>
        <w:t xml:space="preserve"> </w:t>
      </w:r>
      <w:r>
        <w:t xml:space="preserve">fiable, sans afficher le mois de décembre (partiel) comme référence par défaut. Décision de conception : ancrer sur le dernier mois COMPLET plutôt que le dernier mois disponible (option retenue plutôt que d’afficher décembre avec un badge d’exception — jugée plus solide pour un usage portfolio).</w:t>
      </w:r>
    </w:p>
    <w:p>
      <w:pPr>
        <w:pStyle w:val="SourceCode"/>
      </w:pPr>
      <w:r>
        <w:rPr>
          <w:rStyle w:val="VerbatimChar"/>
        </w:rPr>
        <w:t xml:space="preserve">CA Mois En Cours =</w:t>
      </w:r>
      <w:r>
        <w:br/>
      </w:r>
      <w:r>
        <w:rPr>
          <w:rStyle w:val="VerbatimChar"/>
        </w:rPr>
        <w:t xml:space="preserve">VAR DernierMoisComplet =</w:t>
      </w:r>
      <w:r>
        <w:br/>
      </w:r>
      <w:r>
        <w:rPr>
          <w:rStyle w:val="VerbatimChar"/>
        </w:rPr>
        <w:t xml:space="preserve">    CALCULATE(</w:t>
      </w:r>
      <w:r>
        <w:br/>
      </w:r>
      <w:r>
        <w:rPr>
          <w:rStyle w:val="VerbatimChar"/>
        </w:rPr>
        <w:t xml:space="preserve">        MAX(dim_dates[Mois Tri]),</w:t>
      </w:r>
      <w:r>
        <w:br/>
      </w:r>
      <w:r>
        <w:rPr>
          <w:rStyle w:val="VerbatimChar"/>
        </w:rPr>
        <w:t xml:space="preserve">        REMOVEFILTERS(dim_dates),</w:t>
      </w:r>
      <w:r>
        <w:br/>
      </w:r>
      <w:r>
        <w:rPr>
          <w:rStyle w:val="VerbatimChar"/>
        </w:rPr>
        <w:t xml:space="preserve">        FILTER(ALL(dim_dates), CALCULATE(COUNTROWS(fact_sales)) &gt; 0 &amp;&amp; dim_dates[Mois Tri] &lt;&gt; 202412)</w:t>
      </w:r>
      <w:r>
        <w:br/>
      </w:r>
      <w:r>
        <w:rPr>
          <w:rStyle w:val="VerbatimChar"/>
        </w:rPr>
        <w:t xml:space="preserve">    )</w:t>
      </w:r>
      <w:r>
        <w:br/>
      </w:r>
      <w:r>
        <w:rPr>
          <w:rStyle w:val="VerbatimChar"/>
        </w:rPr>
        <w:t xml:space="preserve">RETURN</w:t>
      </w:r>
      <w:r>
        <w:br/>
      </w:r>
      <w:r>
        <w:rPr>
          <w:rStyle w:val="VerbatimChar"/>
        </w:rPr>
        <w:t xml:space="preserve">    CALCULATE([CA Total], REMOVEFILTERS(dim_dates), dim_dates[Mois Tri] = DernierMoisComplet)</w:t>
      </w:r>
      <w:r>
        <w:br/>
      </w:r>
      <w:r>
        <w:br/>
      </w:r>
      <w:r>
        <w:rPr>
          <w:rStyle w:val="VerbatimChar"/>
        </w:rPr>
        <w:t xml:space="preserve">Tendance Mois En Cours =</w:t>
      </w:r>
      <w:r>
        <w:br/>
      </w:r>
      <w:r>
        <w:rPr>
          <w:rStyle w:val="VerbatimChar"/>
        </w:rPr>
        <w:t xml:space="preserve">VAR MoisRef = /* même logique DernierMoisComplet */</w:t>
      </w:r>
      <w:r>
        <w:br/>
      </w:r>
      <w:r>
        <w:rPr>
          <w:rStyle w:val="VerbatimChar"/>
        </w:rPr>
        <w:t xml:space="preserve">VAR CA_Ref = [CA Mois En Cours]</w:t>
      </w:r>
      <w:r>
        <w:br/>
      </w:r>
      <w:r>
        <w:rPr>
          <w:rStyle w:val="VerbatimChar"/>
        </w:rPr>
        <w:t xml:space="preserve">VAR CA_Prec = CALCULATE([CA Total], REMOVEFILTERS(dim_dates), FILTER(ALL(dim_dates), dim_dates[Mois Tri] = MoisRef - 1))</w:t>
      </w:r>
      <w:r>
        <w:br/>
      </w:r>
      <w:r>
        <w:rPr>
          <w:rStyle w:val="VerbatimChar"/>
        </w:rPr>
        <w:t xml:space="preserve">RETURN DIVIDE(CA_Ref - CA_Prec, CA_Prec, BLANK())</w:t>
      </w:r>
    </w:p>
    <w:p>
      <w:pPr>
        <w:pStyle w:val="FirstParagraph"/>
      </w:pPr>
      <w:r>
        <w:t xml:space="preserve">REMOVEFILTERS(dim_dates) sur toute la mesure : garantit que cette carte reste ancrée sur novembre même si un slicer de région/segment/type de magasin est actif ailleurs sur la page — seul l’axe temporel est neutralisé, les autres filtres s’appliquent normalement au calcul du CA.</w:t>
      </w:r>
    </w:p>
    <w:p>
      <w:pPr>
        <w:pStyle w:val="BodyText"/>
      </w:pPr>
      <w:r>
        <w:t xml:space="preserve">Résultat vérifié : CA Mois En Cours = 371,33M€, Tendance = -12,19%, cohérent avec la valeur de novembre déjà validée indépendamment dans la matrice de croissance mensuelle (recoupement croisé positif).</w:t>
      </w:r>
    </w:p>
    <w:bookmarkEnd w:id="35"/>
    <w:bookmarkStart w:id="36" w:name="mesures-simples-créées-sans-anomalie"/>
    <w:p>
      <w:pPr>
        <w:pStyle w:val="Heading2"/>
      </w:pPr>
      <w:r>
        <w:t xml:space="preserve">2.9 Mesures simples créées sans anomalie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Mesure</w:t>
            </w:r>
          </w:p>
        </w:tc>
        <w:tc>
          <w:tcPr/>
          <w:p>
            <w:pPr>
              <w:pStyle w:val="Compact"/>
              <w:jc w:val="left"/>
            </w:pPr>
            <w:r>
              <w:rPr>
                <w:bCs/>
                <w:b/>
              </w:rPr>
              <w:t xml:space="preserve">Problème identifié</w:t>
            </w:r>
          </w:p>
        </w:tc>
        <w:tc>
          <w:tcPr/>
          <w:p>
            <w:pPr>
              <w:pStyle w:val="Compact"/>
              <w:jc w:val="left"/>
            </w:pPr>
            <w:r>
              <w:rPr>
                <w:bCs/>
                <w:b/>
              </w:rPr>
              <w:t xml:space="preserve">Correctif appliqué</w:t>
            </w:r>
          </w:p>
        </w:tc>
        <w:tc>
          <w:tcPr/>
          <w:p>
            <w:pPr>
              <w:pStyle w:val="Compact"/>
              <w:jc w:val="left"/>
            </w:pPr>
            <w:r>
              <w:rPr>
                <w:bCs/>
                <w:b/>
              </w:rPr>
              <w:t xml:space="preserve">Pourquoi</w:t>
            </w:r>
          </w:p>
        </w:tc>
      </w:tr>
      <w:tr>
        <w:tc>
          <w:tcPr/>
          <w:p>
            <w:pPr>
              <w:pStyle w:val="Compact"/>
              <w:jc w:val="left"/>
            </w:pPr>
            <w:r>
              <w:t xml:space="preserve">Nb Clients Actifs</w:t>
            </w:r>
          </w:p>
        </w:tc>
        <w:tc>
          <w:tcPr/>
          <w:p>
            <w:pPr>
              <w:pStyle w:val="Compact"/>
              <w:jc w:val="left"/>
            </w:pPr>
            <w:r>
              <w:t xml:space="preserve">—</w:t>
            </w:r>
          </w:p>
        </w:tc>
        <w:tc>
          <w:tcPr/>
          <w:p>
            <w:pPr>
              <w:pStyle w:val="Compact"/>
              <w:jc w:val="left"/>
            </w:pPr>
            <w:r>
              <w:t xml:space="preserve">DISTINCTCOUNT(fact_sales[customer_sk])</w:t>
            </w:r>
          </w:p>
        </w:tc>
        <w:tc>
          <w:tcPr/>
          <w:p>
            <w:pPr>
              <w:pStyle w:val="Compact"/>
              <w:jc w:val="left"/>
            </w:pPr>
            <w:r>
              <w:t xml:space="preserve">≈100% de la base (98,16% déjà sur l’échantillon 40%) — voir section 7 pour l’interprétation métier</w:t>
            </w:r>
          </w:p>
        </w:tc>
      </w:tr>
      <w:tr>
        <w:tc>
          <w:tcPr/>
          <w:p>
            <w:pPr>
              <w:pStyle w:val="Compact"/>
              <w:jc w:val="left"/>
            </w:pPr>
            <w:r>
              <w:t xml:space="preserve">Nombre de Commerciaux Actifs</w:t>
            </w:r>
          </w:p>
        </w:tc>
        <w:tc>
          <w:tcPr/>
          <w:p>
            <w:pPr>
              <w:pStyle w:val="Compact"/>
              <w:jc w:val="left"/>
            </w:pPr>
            <w:r>
              <w:t xml:space="preserve">—</w:t>
            </w:r>
          </w:p>
        </w:tc>
        <w:tc>
          <w:tcPr/>
          <w:p>
            <w:pPr>
              <w:pStyle w:val="Compact"/>
              <w:jc w:val="left"/>
            </w:pPr>
            <w:r>
              <w:t xml:space="preserve">DISTINCTCOUNT(fact_sales[salesperson_sk])</w:t>
            </w:r>
          </w:p>
        </w:tc>
        <w:tc>
          <w:tcPr/>
          <w:p>
            <w:pPr>
              <w:pStyle w:val="Compact"/>
              <w:jc w:val="left"/>
            </w:pPr>
            <w:r>
              <w:t xml:space="preserve">KPI simple, page Équipe Commerciale</w:t>
            </w:r>
          </w:p>
        </w:tc>
      </w:tr>
      <w:tr>
        <w:tc>
          <w:tcPr/>
          <w:p>
            <w:pPr>
              <w:pStyle w:val="Compact"/>
              <w:jc w:val="left"/>
            </w:pPr>
            <w:r>
              <w:t xml:space="preserve">Budget Total Engagé</w:t>
            </w:r>
          </w:p>
        </w:tc>
        <w:tc>
          <w:tcPr/>
          <w:p>
            <w:pPr>
              <w:pStyle w:val="Compact"/>
              <w:jc w:val="left"/>
            </w:pPr>
            <w:r>
              <w:t xml:space="preserve">—</w:t>
            </w:r>
          </w:p>
        </w:tc>
        <w:tc>
          <w:tcPr/>
          <w:p>
            <w:pPr>
              <w:pStyle w:val="Compact"/>
              <w:jc w:val="left"/>
            </w:pPr>
            <w:r>
              <w:t xml:space="preserve">SUM(dim_campaigns[campaign_budget])</w:t>
            </w:r>
          </w:p>
        </w:tc>
        <w:tc>
          <w:tcPr/>
          <w:p>
            <w:pPr>
              <w:pStyle w:val="Compact"/>
              <w:jc w:val="left"/>
            </w:pPr>
            <w:r>
              <w:t xml:space="preserve">= 28,42M€, vérifié = somme exacte des 50 budgets</w:t>
            </w:r>
          </w:p>
        </w:tc>
      </w:tr>
      <w:tr>
        <w:tc>
          <w:tcPr/>
          <w:p>
            <w:pPr>
              <w:pStyle w:val="Compact"/>
              <w:jc w:val="left"/>
            </w:pPr>
            <w:r>
              <w:t xml:space="preserve">CA Total Généré par Campagnes</w:t>
            </w:r>
          </w:p>
        </w:tc>
        <w:tc>
          <w:tcPr/>
          <w:p>
            <w:pPr>
              <w:pStyle w:val="Compact"/>
              <w:jc w:val="left"/>
            </w:pPr>
            <w:r>
              <w:t xml:space="preserve">—</w:t>
            </w:r>
          </w:p>
        </w:tc>
        <w:tc>
          <w:tcPr/>
          <w:p>
            <w:pPr>
              <w:pStyle w:val="Compact"/>
              <w:jc w:val="left"/>
            </w:pPr>
            <w:r>
              <w:t xml:space="preserve">Alias de CA Campagnes Connues (M09)</w:t>
            </w:r>
          </w:p>
        </w:tc>
        <w:tc>
          <w:tcPr/>
          <w:p>
            <w:pPr>
              <w:pStyle w:val="Compact"/>
              <w:jc w:val="left"/>
            </w:pPr>
            <w:r>
              <w:t xml:space="preserve">Nom plus clair pour la carte KPI de la page Campagnes</w:t>
            </w:r>
          </w:p>
        </w:tc>
      </w:tr>
    </w:tbl>
    <w:bookmarkEnd w:id="36"/>
    <w:bookmarkEnd w:id="37"/>
    <w:bookmarkStart w:id="42" w:name="corrections-power-query"/>
    <w:p>
      <w:pPr>
        <w:pStyle w:val="Heading1"/>
      </w:pPr>
      <w:r>
        <w:t xml:space="preserve">3. Corrections Power Query</w:t>
      </w:r>
    </w:p>
    <w:bookmarkStart w:id="38" w:name="dim_products-colonne-daffichage"/>
    <w:p>
      <w:pPr>
        <w:pStyle w:val="Heading2"/>
      </w:pPr>
      <w:r>
        <w:t xml:space="preserve">3.1 dim_products — colonne d’affichage</w:t>
      </w:r>
    </w:p>
    <w:p>
      <w:pPr>
        <w:pStyle w:val="FirstParagraph"/>
      </w:pPr>
      <w:r>
        <w:t xml:space="preserve">product_display = [product_name] &amp; ” (” &amp; [product_id] &amp;</w:t>
      </w:r>
      <w:r>
        <w:t xml:space="preserve"> </w:t>
      </w:r>
      <w:r>
        <w:t xml:space="preserve">“</w:t>
      </w:r>
      <w:r>
        <w:t xml:space="preserve">)</w:t>
      </w:r>
      <w:r>
        <w:t xml:space="preserve">”</w:t>
      </w:r>
    </w:p>
    <w:p>
      <w:pPr>
        <w:pStyle w:val="BodyText"/>
      </w:pPr>
      <w:r>
        <w:t xml:space="preserve">product_id retenu plutôt que brand : deux « Running Shoes » de marque Puma existent (product_sk 95 en Clothing, 199 en Sports &amp; Outdoors) — brand seul ne suffit pas à distinguer tous les cas.</w:t>
      </w:r>
    </w:p>
    <w:bookmarkEnd w:id="38"/>
    <w:bookmarkStart w:id="39" w:name="dim_salespersons-colonne-daffichage"/>
    <w:p>
      <w:pPr>
        <w:pStyle w:val="Heading2"/>
      </w:pPr>
      <w:r>
        <w:t xml:space="preserve">3.2 dim_salespersons — colonne d’affichage</w:t>
      </w:r>
    </w:p>
    <w:p>
      <w:pPr>
        <w:pStyle w:val="FirstParagraph"/>
      </w:pPr>
      <w:r>
        <w:t xml:space="preserve">salesperson_display = [salesperson_name] &amp; ” (” &amp; [salesperson_id] &amp;</w:t>
      </w:r>
      <w:r>
        <w:t xml:space="preserve"> </w:t>
      </w:r>
      <w:r>
        <w:t xml:space="preserve">“</w:t>
      </w:r>
      <w:r>
        <w:t xml:space="preserve">)</w:t>
      </w:r>
      <w:r>
        <w:t xml:space="preserve">”</w:t>
      </w:r>
    </w:p>
    <w:p>
      <w:pPr>
        <w:pStyle w:val="BodyText"/>
      </w:pPr>
      <w:r>
        <w:t xml:space="preserve">Utilisée dans tous les visuels de la page Équipe Commerciale à la place de salesperson_name.</w:t>
      </w:r>
    </w:p>
    <w:bookmarkEnd w:id="39"/>
    <w:bookmarkStart w:id="40" w:name="Xd1ca64255a4f6b71925a4f3e22b06951526a168"/>
    <w:p>
      <w:pPr>
        <w:pStyle w:val="Heading2"/>
      </w:pPr>
      <w:r>
        <w:t xml:space="preserve">3.3 dim_stores — nettoyage et colonne d’affichage</w:t>
      </w:r>
    </w:p>
    <w:p>
      <w:pPr>
        <w:pStyle w:val="SourceCode"/>
      </w:pPr>
      <w:r>
        <w:rPr>
          <w:rStyle w:val="VerbatimChar"/>
        </w:rPr>
        <w:t xml:space="preserve">// Suppression des espaces parasites</w:t>
      </w:r>
      <w:r>
        <w:br/>
      </w:r>
      <w:r>
        <w:rPr>
          <w:rStyle w:val="VerbatimChar"/>
        </w:rPr>
        <w:t xml:space="preserve">store_type = Text.Trim([store_type])   // "Supermarkets " -&gt; "Supermarkets"</w:t>
      </w:r>
      <w:r>
        <w:br/>
      </w:r>
      <w:r>
        <w:br/>
      </w:r>
      <w:r>
        <w:rPr>
          <w:rStyle w:val="VerbatimChar"/>
        </w:rPr>
        <w:t xml:space="preserve">// Colonne d'affichage préventive (aucun visuel ne l'utilise encore)</w:t>
      </w:r>
      <w:r>
        <w:br/>
      </w:r>
      <w:r>
        <w:rPr>
          <w:rStyle w:val="VerbatimChar"/>
        </w:rPr>
        <w:t xml:space="preserve">store_display = [store_name] &amp; " (" &amp; [store_id] &amp; ")"</w:t>
      </w:r>
    </w:p>
    <w:p>
      <w:pPr>
        <w:pStyle w:val="FirstParagraph"/>
      </w:pPr>
      <w:r>
        <w:t xml:space="preserve">Le problème d’espace parasite sur store_type (</w:t>
      </w:r>
      <w:r>
        <w:t xml:space="preserve">“</w:t>
      </w:r>
      <w:r>
        <w:t xml:space="preserve">Supermarkets</w:t>
      </w:r>
      <w:r>
        <w:t xml:space="preserve">”</w:t>
      </w:r>
      <w:r>
        <w:t xml:space="preserve"> </w:t>
      </w:r>
      <w:r>
        <w:t xml:space="preserve">avec espace final) a été confirmé dès l’audit initial en comparant les valeurs distinctes brutes du CSV — sans ce nettoyage, le donut de répartition par type de magasin afficherait 4 segments au lieu de 3.</w:t>
      </w:r>
    </w:p>
    <w:bookmarkEnd w:id="40"/>
    <w:bookmarkStart w:id="41" w:name="X18c35b4fe4e5538a2167c7f4334f1d3e5042dcd"/>
    <w:p>
      <w:pPr>
        <w:pStyle w:val="Heading2"/>
      </w:pPr>
      <w:r>
        <w:t xml:space="preserve">3.4 dim_campaigns — colonnes calculées (colonnes, pas mesures)</w:t>
      </w:r>
    </w:p>
    <w:p>
      <w:pPr>
        <w:pStyle w:val="SourceCode"/>
      </w:pPr>
      <w:r>
        <w:rPr>
          <w:rStyle w:val="VerbatimChar"/>
        </w:rPr>
        <w:t xml:space="preserve">Date Début Campagne =</w:t>
      </w:r>
      <w:r>
        <w:br/>
      </w:r>
      <w:r>
        <w:rPr>
          <w:rStyle w:val="VerbatimChar"/>
        </w:rPr>
        <w:t xml:space="preserve">LOOKUPVALUE(dim_dates[full_date], dim_dates[date_sk], dim_campaigns[start_date_sk])</w:t>
      </w:r>
      <w:r>
        <w:br/>
      </w:r>
      <w:r>
        <w:br/>
      </w:r>
      <w:r>
        <w:rPr>
          <w:rStyle w:val="VerbatimChar"/>
        </w:rPr>
        <w:t xml:space="preserve">Jours Depuis Debut Annee =</w:t>
      </w:r>
      <w:r>
        <w:br/>
      </w:r>
      <w:r>
        <w:rPr>
          <w:rStyle w:val="VerbatimChar"/>
        </w:rPr>
        <w:t xml:space="preserve">DATEDIFF(DATE(2024,1,1), dim_campaigns[Date Début Campagne], DAY)</w:t>
      </w:r>
    </w:p>
    <w:p>
      <w:pPr>
        <w:pStyle w:val="FirstParagraph"/>
      </w:pPr>
      <w:r>
        <w:t xml:space="preserve">Choix colonne calculée plutôt que mesure : la date de début d’une campagne est une valeur fixe qui ne dépend d’aucun contexte de filtre — un candidat naturel pour Power Query/colonne calculée plutôt qu’une mesure recalculée à chaque interaction.</w:t>
      </w:r>
    </w:p>
    <w:p>
      <w:pPr>
        <w:pStyle w:val="BodyText"/>
      </w:pPr>
      <w:r>
        <w:t xml:space="preserve">Jours Depuis Debut Annee sert de</w:t>
      </w:r>
      <w:r>
        <w:t xml:space="preserve"> </w:t>
      </w:r>
      <w:r>
        <w:t xml:space="preserve">“</w:t>
      </w:r>
      <w:r>
        <w:t xml:space="preserve">segment invisible</w:t>
      </w:r>
      <w:r>
        <w:t xml:space="preserve">”</w:t>
      </w:r>
      <w:r>
        <w:t xml:space="preserve"> </w:t>
      </w:r>
      <w:r>
        <w:t xml:space="preserve">dans la Frise des Campagnes (technique du faux Gantt par barres empilées) — voir section 5.4.</w:t>
      </w:r>
    </w:p>
    <w:bookmarkEnd w:id="41"/>
    <w:bookmarkEnd w:id="42"/>
    <w:bookmarkStart w:id="46" w:name="modélisation-choix-structurants"/>
    <w:p>
      <w:pPr>
        <w:pStyle w:val="Heading1"/>
      </w:pPr>
      <w:r>
        <w:t xml:space="preserve">4. Modélisation — choix structurants</w:t>
      </w:r>
    </w:p>
    <w:bookmarkStart w:id="43" w:name="Xf0c14efb95b3ad414cfdaaa6398a0c2cf7597bb"/>
    <w:p>
      <w:pPr>
        <w:pStyle w:val="Heading2"/>
      </w:pPr>
      <w:r>
        <w:t xml:space="preserve">4.1 Ambiguïté dim_campaigns / dim_dates (role-playing dimension)</w:t>
      </w:r>
    </w:p>
    <w:p>
      <w:pPr>
        <w:pStyle w:val="FirstParagraph"/>
      </w:pPr>
      <w:r>
        <w:t xml:space="preserve">dim_campaigns référence dim_dates deux fois (start_date_sk, end_date_sk) — Power BI n’autorise qu’une seule relation active entre deux tables. Choix retenu : aucune relation active entre dim_campaigns et dim_dates ; la date de début est résolue statiquement via LOOKUPVALUE (colonne calculée, section 3.4).</w:t>
      </w:r>
    </w:p>
    <w:p>
      <w:pPr>
        <w:pStyle w:val="BodyText"/>
      </w:pPr>
      <w:r>
        <w:t xml:space="preserve">Conséquence assumée : le slicer Période (basé sur dim_dates) ne peut filtrer aucun visuel construit uniquement à partir de champs dim_campaigns — notamment la Frise des Campagnes, qui reste donc identique quelle que soit la période sélectionnée ailleurs sur le dashboard. Comportement voulu et cohérent sur le plan métier : le calendrier de programmation d’une campagne ne doit pas changer selon un filtre de période appliqué par ailleurs.</w:t>
      </w:r>
    </w:p>
    <w:bookmarkEnd w:id="43"/>
    <w:bookmarkStart w:id="44" w:name="pattern-unknown-member-campaign_sk-0"/>
    <w:p>
      <w:pPr>
        <w:pStyle w:val="Heading2"/>
      </w:pPr>
      <w:r>
        <w:t xml:space="preserve">4.2 Pattern Unknown Member (campaign_sk = 0)</w:t>
      </w:r>
    </w:p>
    <w:p>
      <w:pPr>
        <w:pStyle w:val="FirstParagraph"/>
      </w:pPr>
      <w:r>
        <w:t xml:space="preserve">Prévu par la conception initiale comme protection contre des ventes sans campagne assignée. Vérifié sur les données réelles : aucune ligne de fact_sales n’a de campaign_sk manquant — le pattern n’est donc jamais déclenché sur ce dataset. Conservé comme bonne pratique défensive, à présenter comme telle (anticipation, pas correction d’un cas réel rencontré).</w:t>
      </w:r>
    </w:p>
    <w:bookmarkEnd w:id="44"/>
    <w:bookmarkStart w:id="45" w:name="X84cb59f2ccd470c461e36b2ab3eaf5cabe408c7"/>
    <w:p>
      <w:pPr>
        <w:pStyle w:val="Heading2"/>
      </w:pPr>
      <w:r>
        <w:t xml:space="preserve">4.3 Cardinalités et unicité des clés — récapitulatif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Mesure</w:t>
            </w:r>
          </w:p>
        </w:tc>
        <w:tc>
          <w:tcPr/>
          <w:p>
            <w:pPr>
              <w:pStyle w:val="Compact"/>
              <w:jc w:val="left"/>
            </w:pPr>
            <w:r>
              <w:rPr>
                <w:bCs/>
                <w:b/>
              </w:rPr>
              <w:t xml:space="preserve">Problème identifié</w:t>
            </w:r>
          </w:p>
        </w:tc>
        <w:tc>
          <w:tcPr/>
          <w:p>
            <w:pPr>
              <w:pStyle w:val="Compact"/>
              <w:jc w:val="left"/>
            </w:pPr>
            <w:r>
              <w:rPr>
                <w:bCs/>
                <w:b/>
              </w:rPr>
              <w:t xml:space="preserve">Correctif appliqué</w:t>
            </w:r>
          </w:p>
        </w:tc>
        <w:tc>
          <w:tcPr/>
          <w:p>
            <w:pPr>
              <w:pStyle w:val="Compact"/>
              <w:jc w:val="left"/>
            </w:pPr>
            <w:r>
              <w:rPr>
                <w:bCs/>
                <w:b/>
              </w:rPr>
              <w:t xml:space="preserve">Pourquoi</w:t>
            </w:r>
          </w:p>
        </w:tc>
      </w:tr>
      <w:tr>
        <w:tc>
          <w:tcPr/>
          <w:p>
            <w:pPr>
              <w:pStyle w:val="Compact"/>
              <w:jc w:val="left"/>
            </w:pPr>
            <w:r>
              <w:t xml:space="preserve">dim_campaigns[campaign_sk / campaign_name]</w:t>
            </w:r>
          </w:p>
        </w:tc>
        <w:tc>
          <w:tcPr/>
          <w:p>
            <w:pPr>
              <w:pStyle w:val="Compact"/>
              <w:jc w:val="left"/>
            </w:pPr>
            <w:r>
              <w:t xml:space="preserve">—</w:t>
            </w:r>
          </w:p>
        </w:tc>
        <w:tc>
          <w:tcPr/>
          <w:p>
            <w:pPr>
              <w:pStyle w:val="Compact"/>
              <w:jc w:val="left"/>
            </w:pPr>
            <w:r>
              <w:t xml:space="preserve">Vérifié unique (50 lignes, 50 clés)</w:t>
            </w:r>
          </w:p>
        </w:tc>
        <w:tc>
          <w:tcPr/>
          <w:p>
            <w:pPr>
              <w:pStyle w:val="Compact"/>
              <w:jc w:val="left"/>
            </w:pPr>
            <w:r>
              <w:t xml:space="preserve">Aucune désambiguïsation nécessaire, contrairement aux 3 autres dimensions</w:t>
            </w:r>
          </w:p>
        </w:tc>
      </w:tr>
      <w:tr>
        <w:tc>
          <w:tcPr/>
          <w:p>
            <w:pPr>
              <w:pStyle w:val="Compact"/>
              <w:jc w:val="left"/>
            </w:pPr>
            <w:r>
              <w:t xml:space="preserve">dim_salespersons[salesperson_name]</w:t>
            </w:r>
          </w:p>
        </w:tc>
        <w:tc>
          <w:tcPr/>
          <w:p>
            <w:pPr>
              <w:pStyle w:val="Compact"/>
              <w:jc w:val="left"/>
            </w:pPr>
            <w:r>
              <w:t xml:space="preserve">21 homonymes sur 2000</w:t>
            </w:r>
          </w:p>
        </w:tc>
        <w:tc>
          <w:tcPr/>
          <w:p>
            <w:pPr>
              <w:pStyle w:val="Compact"/>
              <w:jc w:val="left"/>
            </w:pPr>
            <w:r>
              <w:t xml:space="preserve">salesperson_display (Power Query)</w:t>
            </w:r>
          </w:p>
        </w:tc>
        <w:tc>
          <w:tcPr/>
          <w:p>
            <w:pPr>
              <w:pStyle w:val="Compact"/>
              <w:jc w:val="left"/>
            </w:pPr>
            <w:r>
              <w:t xml:space="preserve">Voir section 2.2</w:t>
            </w:r>
          </w:p>
        </w:tc>
      </w:tr>
      <w:tr>
        <w:tc>
          <w:tcPr/>
          <w:p>
            <w:pPr>
              <w:pStyle w:val="Compact"/>
              <w:jc w:val="left"/>
            </w:pPr>
            <w:r>
              <w:t xml:space="preserve">dim_products[product_name]</w:t>
            </w:r>
          </w:p>
        </w:tc>
        <w:tc>
          <w:tcPr/>
          <w:p>
            <w:pPr>
              <w:pStyle w:val="Compact"/>
              <w:jc w:val="left"/>
            </w:pPr>
            <w:r>
              <w:t xml:space="preserve">≥4 doublons connus (« Running Shoes »)</w:t>
            </w:r>
          </w:p>
        </w:tc>
        <w:tc>
          <w:tcPr/>
          <w:p>
            <w:pPr>
              <w:pStyle w:val="Compact"/>
              <w:jc w:val="left"/>
            </w:pPr>
            <w:r>
              <w:t xml:space="preserve">product_display (Power Query)</w:t>
            </w:r>
          </w:p>
        </w:tc>
        <w:tc>
          <w:tcPr/>
          <w:p>
            <w:pPr>
              <w:pStyle w:val="Compact"/>
              <w:jc w:val="left"/>
            </w:pPr>
            <w:r>
              <w:t xml:space="preserve">Voir section 2.3</w:t>
            </w:r>
          </w:p>
        </w:tc>
      </w:tr>
      <w:tr>
        <w:tc>
          <w:tcPr/>
          <w:p>
            <w:pPr>
              <w:pStyle w:val="Compact"/>
              <w:jc w:val="left"/>
            </w:pPr>
            <w:r>
              <w:t xml:space="preserve">dim_stores[store_name]</w:t>
            </w:r>
          </w:p>
        </w:tc>
        <w:tc>
          <w:tcPr/>
          <w:p>
            <w:pPr>
              <w:pStyle w:val="Compact"/>
              <w:jc w:val="left"/>
            </w:pPr>
            <w:r>
              <w:t xml:space="preserve">500 magasins / 50 noms distincts</w:t>
            </w:r>
          </w:p>
        </w:tc>
        <w:tc>
          <w:tcPr/>
          <w:p>
            <w:pPr>
              <w:pStyle w:val="Compact"/>
              <w:jc w:val="left"/>
            </w:pPr>
            <w:r>
              <w:t xml:space="preserve">store_display créée en prévention</w:t>
            </w:r>
          </w:p>
        </w:tc>
        <w:tc>
          <w:tcPr/>
          <w:p>
            <w:pPr>
              <w:pStyle w:val="Compact"/>
              <w:jc w:val="left"/>
            </w:pPr>
            <w:r>
              <w:t xml:space="preserve">Structure franchise, pas un accident — voir section 2.3</w:t>
            </w:r>
          </w:p>
        </w:tc>
      </w:tr>
    </w:tbl>
    <w:bookmarkEnd w:id="45"/>
    <w:bookmarkEnd w:id="46"/>
    <w:bookmarkStart w:id="52" w:name="conception-du-dashboard-5-pages"/>
    <w:p>
      <w:pPr>
        <w:pStyle w:val="Heading1"/>
      </w:pPr>
      <w:r>
        <w:t xml:space="preserve">5. Conception du dashboard — 5 pages</w:t>
      </w:r>
    </w:p>
    <w:p>
      <w:pPr>
        <w:pStyle w:val="FirstParagraph"/>
      </w:pPr>
      <w:r>
        <w:t xml:space="preserve">Slicer Période (dim_dates[Mois Année Label], trié par Mois Tri) synchronisé sur les 5 pages via Affichage &gt; Synchroniser les segments, sans sélection par défaut (pour éviter que le dashboard s’ouvre filtré sur décembre, mois partiel).</w:t>
      </w:r>
    </w:p>
    <w:bookmarkStart w:id="47" w:name="page-1-vue-générale"/>
    <w:p>
      <w:pPr>
        <w:pStyle w:val="Heading2"/>
      </w:pPr>
      <w:r>
        <w:t xml:space="preserve">5.1 Page 1 — Vue Générale</w:t>
      </w:r>
    </w:p>
    <w:p>
      <w:pPr>
        <w:numPr>
          <w:ilvl w:val="0"/>
          <w:numId w:val="1015"/>
        </w:numPr>
      </w:pPr>
      <w:r>
        <w:t xml:space="preserve">4 cartes KPI : Métrique Dynamique (M15, pilotée par un slicer déconnecté « Sélecteur Métrique » trié par colonne Ordre), CA YTD (M04), CA Mois En Cours + Tendance (2.8), Nb Transactions (M02, fixe).</w:t>
      </w:r>
    </w:p>
    <w:p>
      <w:pPr>
        <w:numPr>
          <w:ilvl w:val="0"/>
          <w:numId w:val="1015"/>
        </w:numPr>
      </w:pPr>
      <w:r>
        <w:t xml:space="preserve">Évolution du CA mensuel : aire/courbe, tri chronologique forcé (Trier par colonne &gt; Mois Tri — sans ce réglage, l’axe se trie alphabétiquement, bug rencontré et corrigé en cours de session), info-bulle « Mois partiel » sur janvier/décembre.</w:t>
      </w:r>
    </w:p>
    <w:p>
      <w:pPr>
        <w:numPr>
          <w:ilvl w:val="0"/>
          <w:numId w:val="1015"/>
        </w:numPr>
      </w:pPr>
      <w:r>
        <w:t xml:space="preserve">Donut « Répartition du CA par type de magasin » — 3 segments, dépend du Text.Trim (3.3).</w:t>
      </w:r>
    </w:p>
    <w:p>
      <w:pPr>
        <w:numPr>
          <w:ilvl w:val="0"/>
          <w:numId w:val="1015"/>
        </w:numPr>
      </w:pPr>
      <w:r>
        <w:t xml:space="preserve">Zone de texte « Segment À Surveiller » (reformulation du Churn Risk) — ton neutre, pas d’alerte visuelle, car le CA de ce segment est comparable aux 9 autres (5e/10, écart &lt;2%).</w:t>
      </w:r>
    </w:p>
    <w:p>
      <w:pPr>
        <w:numPr>
          <w:ilvl w:val="0"/>
          <w:numId w:val="1015"/>
        </w:numPr>
      </w:pPr>
      <w:r>
        <w:t xml:space="preserve">Point en attente : flèche de tendance colorée sur la carte CA Mois En Cours (fonctionnalité</w:t>
      </w:r>
      <w:r>
        <w:t xml:space="preserve"> </w:t>
      </w:r>
      <w:r>
        <w:t xml:space="preserve">“</w:t>
      </w:r>
      <w:r>
        <w:t xml:space="preserve">Étiquette de référence</w:t>
      </w:r>
      <w:r>
        <w:t xml:space="preserve">”</w:t>
      </w:r>
      <w:r>
        <w:t xml:space="preserve"> </w:t>
      </w:r>
      <w:r>
        <w:t xml:space="preserve">trouvée mais non finalisée faute de menu localisé).</w:t>
      </w:r>
    </w:p>
    <w:bookmarkEnd w:id="47"/>
    <w:bookmarkStart w:id="48" w:name="page-2-ventes-produits"/>
    <w:p>
      <w:pPr>
        <w:pStyle w:val="Heading2"/>
      </w:pPr>
      <w:r>
        <w:t xml:space="preserve">5.2 Page 2 — Ventes &amp; Produits</w:t>
      </w:r>
    </w:p>
    <w:p>
      <w:pPr>
        <w:numPr>
          <w:ilvl w:val="0"/>
          <w:numId w:val="1016"/>
        </w:numPr>
      </w:pPr>
      <w:r>
        <w:t xml:space="preserve">Matrice Catégorie × Mois avec mise en forme conditionnelle (dégradé) — révèle la saisonnalité, pas de différence entre catégories (voir section 6).</w:t>
      </w:r>
    </w:p>
    <w:p>
      <w:pPr>
        <w:numPr>
          <w:ilvl w:val="0"/>
          <w:numId w:val="1016"/>
        </w:numPr>
      </w:pPr>
      <w:r>
        <w:t xml:space="preserve">Top 10 Produits par CA — axe product_display (jamais product_name seul, cf. 2.3), filtre Top N appliqué deux fois (perdu une première fois lors du changement de champ, réappliqué).</w:t>
      </w:r>
    </w:p>
    <w:p>
      <w:pPr>
        <w:numPr>
          <w:ilvl w:val="0"/>
          <w:numId w:val="1016"/>
        </w:numPr>
      </w:pPr>
      <w:r>
        <w:t xml:space="preserve">Carte géographique (villes, store_location) — nécessite l’activation Fichier &gt; Options &gt; Sécurité &gt; visuels Carte/Carte remplie, désactivés par défaut.</w:t>
      </w:r>
    </w:p>
    <w:p>
      <w:pPr>
        <w:numPr>
          <w:ilvl w:val="0"/>
          <w:numId w:val="1016"/>
        </w:numPr>
      </w:pPr>
      <w:r>
        <w:t xml:space="preserve">Treemap Catégorie/Marque — nécessite un clic droit &gt; Développer &gt; Jusqu’au niveau suivant pour afficher les deux niveaux simultanément (sinon Power BI n’affiche que le niveau catégorie et attend un drill manuel).</w:t>
      </w:r>
    </w:p>
    <w:p>
      <w:pPr>
        <w:numPr>
          <w:ilvl w:val="0"/>
          <w:numId w:val="1016"/>
        </w:numPr>
      </w:pPr>
      <w:r>
        <w:t xml:space="preserve">Ajout (renforcement) — Évolution du Top 5 Produits dans le temps : courbes par product_display (Top N = 5, jamais 10 sur ce type de visuel pour rester lisible), axe Mois Année Label. Résultat : les 5 courbes sont quasiment superposées toute l’année (même pic d’octobre, même creux janv/déc) — 7e confirmation du motif d’uniformité (section 6).</w:t>
      </w:r>
    </w:p>
    <w:bookmarkEnd w:id="48"/>
    <w:bookmarkStart w:id="49" w:name="page-3-clients-crm"/>
    <w:p>
      <w:pPr>
        <w:pStyle w:val="Heading2"/>
      </w:pPr>
      <w:r>
        <w:t xml:space="preserve">5.3 Page 3 — Clients &amp; CRM</w:t>
      </w:r>
    </w:p>
    <w:p>
      <w:pPr>
        <w:numPr>
          <w:ilvl w:val="0"/>
          <w:numId w:val="1017"/>
        </w:numPr>
      </w:pPr>
      <w:r>
        <w:t xml:space="preserve">Cartes Nb Clients Actifs et Panier Moyen (M03).</w:t>
      </w:r>
    </w:p>
    <w:p>
      <w:pPr>
        <w:numPr>
          <w:ilvl w:val="0"/>
          <w:numId w:val="1017"/>
        </w:numPr>
      </w:pPr>
      <w:r>
        <w:t xml:space="preserve">Graphique CA par Segment Client — Nb Clients Actifs ajouté en info-bulle plutôt qu’en deuxième série (échelles incompatibles : centaines de millions vs dizaines de milliers).</w:t>
      </w:r>
    </w:p>
    <w:p>
      <w:pPr>
        <w:numPr>
          <w:ilvl w:val="0"/>
          <w:numId w:val="1017"/>
        </w:numPr>
      </w:pPr>
      <w:r>
        <w:t xml:space="preserve">Table détail par segment (segment / clients / CA / panier, avec ligne Total).</w:t>
      </w:r>
    </w:p>
    <w:p>
      <w:pPr>
        <w:numPr>
          <w:ilvl w:val="0"/>
          <w:numId w:val="1017"/>
        </w:numPr>
      </w:pPr>
      <w:r>
        <w:t xml:space="preserve">Carte géographique clients (residential_location, 50 villes, 1906 à 2096 clients chacune — distribution homogène, pas d’anomalie).</w:t>
      </w:r>
    </w:p>
    <w:p>
      <w:pPr>
        <w:numPr>
          <w:ilvl w:val="0"/>
          <w:numId w:val="1017"/>
        </w:numPr>
      </w:pPr>
      <w:r>
        <w:t xml:space="preserve">Ajout (renforcement) — Table Fréquence/Récence par segment : Freq Moyenne Transactions, Derniere Transaction, puis Recence Moyenne Jours (version robuste, moyenne par client individuel plutôt que MAX du segment). Résultat détaillé en section 6.1 — test RFM direct, concluant.</w:t>
      </w:r>
    </w:p>
    <w:p>
      <w:pPr>
        <w:numPr>
          <w:ilvl w:val="0"/>
          <w:numId w:val="1017"/>
        </w:numPr>
      </w:pPr>
      <w:r>
        <w:t xml:space="preserve">Point en attente : drill-through ou signet depuis la carte texte Page 1 vers cette page, filtré sur Churn Risk — voir statut mis à jour en section 11.5.</w:t>
      </w:r>
    </w:p>
    <w:bookmarkEnd w:id="49"/>
    <w:bookmarkStart w:id="50" w:name="page-4-campagnes"/>
    <w:p>
      <w:pPr>
        <w:pStyle w:val="Heading2"/>
      </w:pPr>
      <w:r>
        <w:t xml:space="preserve">5.4 Page 4 — Campagnes</w:t>
      </w:r>
    </w:p>
    <w:p>
      <w:pPr>
        <w:numPr>
          <w:ilvl w:val="0"/>
          <w:numId w:val="1018"/>
        </w:numPr>
      </w:pPr>
      <w:r>
        <w:t xml:space="preserve">4 cartes KPI : Budget Total Engagé, CA Total Généré par Campagnes, Meilleure Campagne ROI (Green Weekend Deals), Campagne à Réviser ROI (Mid-Year Madness).</w:t>
      </w:r>
    </w:p>
    <w:p>
      <w:pPr>
        <w:numPr>
          <w:ilvl w:val="0"/>
          <w:numId w:val="1018"/>
        </w:numPr>
      </w:pPr>
      <w:r>
        <w:t xml:space="preserve">Top 10 Campagnes par Multiple de Retour (pas par ROI % — lisibilité, cf. 2.4), ROI % disponible en info-bulle.</w:t>
      </w:r>
    </w:p>
    <w:p>
      <w:pPr>
        <w:numPr>
          <w:ilvl w:val="0"/>
          <w:numId w:val="1018"/>
        </w:numPr>
      </w:pPr>
      <w:r>
        <w:t xml:space="preserve">Frise des Campagnes 2024 : technique du</w:t>
      </w:r>
      <w:r>
        <w:t xml:space="preserve"> </w:t>
      </w:r>
      <w:r>
        <w:t xml:space="preserve">“</w:t>
      </w:r>
      <w:r>
        <w:t xml:space="preserve">faux Gantt</w:t>
      </w:r>
      <w:r>
        <w:t xml:space="preserve">”</w:t>
      </w:r>
      <w:r>
        <w:t xml:space="preserve"> </w:t>
      </w:r>
      <w:r>
        <w:t xml:space="preserve">par barres empilées — Jours Depuis Debut Annee (segment invisible, couleur blanche) + campaign_duration_days (segment visible). Piège rencontré : le type de visuel</w:t>
      </w:r>
      <w:r>
        <w:t xml:space="preserve"> </w:t>
      </w:r>
      <w:r>
        <w:t xml:space="preserve">“</w:t>
      </w:r>
      <w:r>
        <w:t xml:space="preserve">Barres empilées à 100%</w:t>
      </w:r>
      <w:r>
        <w:t xml:space="preserve">”</w:t>
      </w:r>
      <w:r>
        <w:t xml:space="preserve"> </w:t>
      </w:r>
      <w:r>
        <w:t xml:space="preserve">normalise chaque barre à 100% de largeur et détruit le positionnement chronologique — il faut impérativement</w:t>
      </w:r>
      <w:r>
        <w:t xml:space="preserve"> </w:t>
      </w:r>
      <w:r>
        <w:t xml:space="preserve">“</w:t>
      </w:r>
      <w:r>
        <w:t xml:space="preserve">Barres empilées</w:t>
      </w:r>
      <w:r>
        <w:t xml:space="preserve">”</w:t>
      </w:r>
      <w:r>
        <w:t xml:space="preserve"> </w:t>
      </w:r>
      <w:r>
        <w:t xml:space="preserve">(sans</w:t>
      </w:r>
      <w:r>
        <w:t xml:space="preserve"> </w:t>
      </w:r>
      <w:r>
        <w:t xml:space="preserve">“</w:t>
      </w:r>
      <w:r>
        <w:t xml:space="preserve">100%</w:t>
      </w:r>
      <w:r>
        <w:t xml:space="preserve">”</w:t>
      </w:r>
      <w:r>
        <w:t xml:space="preserve">).</w:t>
      </w:r>
    </w:p>
    <w:p>
      <w:pPr>
        <w:numPr>
          <w:ilvl w:val="0"/>
          <w:numId w:val="1018"/>
        </w:numPr>
      </w:pPr>
      <w:r>
        <w:t xml:space="preserve">N’est pas affectée par le slicer Période (cf. 4.1) — comportement assumé, annoté visuellement sur le visuel final (voir section 11.4).</w:t>
      </w:r>
    </w:p>
    <w:bookmarkEnd w:id="50"/>
    <w:bookmarkStart w:id="51" w:name="page-5-équipe-commerciale"/>
    <w:p>
      <w:pPr>
        <w:pStyle w:val="Heading2"/>
      </w:pPr>
      <w:r>
        <w:t xml:space="preserve">5.5 Page 5 — Équipe Commerciale</w:t>
      </w:r>
    </w:p>
    <w:p>
      <w:pPr>
        <w:numPr>
          <w:ilvl w:val="0"/>
          <w:numId w:val="1019"/>
        </w:numPr>
      </w:pPr>
      <w:r>
        <w:t xml:space="preserve">Cartes Meilleur Commercial (M13), CA Moyen par Commercial (M12), Nombre de Commerciaux Actifs.</w:t>
      </w:r>
    </w:p>
    <w:p>
      <w:pPr>
        <w:numPr>
          <w:ilvl w:val="0"/>
          <w:numId w:val="1019"/>
        </w:numPr>
      </w:pPr>
      <w:r>
        <w:t xml:space="preserve">Top 10 Commerciaux par CA — axe salesperson_display impérativement (cf. 2.2).</w:t>
      </w:r>
    </w:p>
    <w:p>
      <w:pPr>
        <w:numPr>
          <w:ilvl w:val="0"/>
          <w:numId w:val="1019"/>
        </w:numPr>
      </w:pPr>
      <w:r>
        <w:t xml:space="preserve">Donut Répartition du CA par Rôle — 4 rôles (Sales Associate, Salesperson, Manager, Senior Salesperson), écart de 14-16% entre le plus haut et le plus bas — le plus marqué de tout le dashboard, voir section 6 et conclusion définitive en section 11.6.</w:t>
      </w:r>
    </w:p>
    <w:p>
      <w:pPr>
        <w:numPr>
          <w:ilvl w:val="0"/>
          <w:numId w:val="1019"/>
        </w:numPr>
      </w:pPr>
      <w:r>
        <w:t xml:space="preserve">Ajout (renforcement) — Donut Effectif par Rôle (Nombre de Commerciaux Actifs) positionné à côté du précédent : permet de vérifier si l’écart de CA reflète un effectif différent par rôle ou une vraie différence de performance individuelle — question tranchée en section 11.6.</w:t>
      </w:r>
    </w:p>
    <w:bookmarkEnd w:id="51"/>
    <w:bookmarkEnd w:id="52"/>
    <w:bookmarkStart w:id="54" w:name="constats-analytiques-transverses"/>
    <w:p>
      <w:pPr>
        <w:pStyle w:val="Heading1"/>
      </w:pPr>
      <w:r>
        <w:t xml:space="preserve">6. Constats analytiques transverses</w:t>
      </w:r>
    </w:p>
    <w:p>
      <w:pPr>
        <w:pStyle w:val="FirstParagraph"/>
      </w:pPr>
      <w:r>
        <w:rPr>
          <w:bCs/>
          <w:b/>
        </w:rPr>
        <w:t xml:space="preserve">Motif d’uniformité observé à répétition (6 occurrences indépendantes) : à chaque niveau de granularité testé, les entités du même niveau affichent un CA quasiment identique. À documenter explicitement dans toute présentation pour éviter de laisser croire à une différenciation qui n’existe pas.</w:t>
      </w:r>
    </w:p>
    <w:p>
      <w:pPr>
        <w:numPr>
          <w:ilvl w:val="0"/>
          <w:numId w:val="1020"/>
        </w:numPr>
      </w:pPr>
      <w:r>
        <w:t xml:space="preserve">Campagnes : CA individuel de 54,78% à 520,28% en ROI, mais montant de CA lui-même très proche d’une campagne à l’autre avant application du ROI.</w:t>
      </w:r>
    </w:p>
    <w:p>
      <w:pPr>
        <w:numPr>
          <w:ilvl w:val="0"/>
          <w:numId w:val="1020"/>
        </w:numPr>
      </w:pPr>
      <w:r>
        <w:t xml:space="preserve">Segments clients (10) : CA de 271,6M€ à 277,65M€ (écart 2,2%), nombre de clients de 9867 à 10082 (écart 2,2%), CA moyen par client ≈27 500€ partout.</w:t>
      </w:r>
    </w:p>
    <w:p>
      <w:pPr>
        <w:numPr>
          <w:ilvl w:val="0"/>
          <w:numId w:val="1020"/>
        </w:numPr>
      </w:pPr>
      <w:r>
        <w:t xml:space="preserve">Catégories produits (6) : CA de 181,65M€ à 184,95M€ (écart 1,8%).</w:t>
      </w:r>
    </w:p>
    <w:p>
      <w:pPr>
        <w:numPr>
          <w:ilvl w:val="0"/>
          <w:numId w:val="1020"/>
        </w:numPr>
      </w:pPr>
      <w:r>
        <w:t xml:space="preserve">Marques au sein d’une catégorie (5 par catégorie) : écarts du même ordre (~2,5%).</w:t>
      </w:r>
    </w:p>
    <w:p>
      <w:pPr>
        <w:numPr>
          <w:ilvl w:val="0"/>
          <w:numId w:val="1020"/>
        </w:numPr>
      </w:pPr>
      <w:r>
        <w:t xml:space="preserve">Villes (résidence clients, 50) : 1906 à 2096 clients (écart 8,7% — le 2e plus grand écart observé).</w:t>
      </w:r>
    </w:p>
    <w:p>
      <w:pPr>
        <w:numPr>
          <w:ilvl w:val="0"/>
          <w:numId w:val="1020"/>
        </w:numPr>
      </w:pPr>
      <w:r>
        <w:t xml:space="preserve">Taux de clients actifs : ≈100% de la base a acheté au moins une fois en 2024 — voir ci-dessous.</w:t>
      </w:r>
    </w:p>
    <w:p>
      <w:pPr>
        <w:numPr>
          <w:ilvl w:val="0"/>
          <w:numId w:val="1020"/>
        </w:numPr>
      </w:pPr>
      <w:r>
        <w:t xml:space="preserve">Évolution temporelle du Top 5 Produits (renforcement) : les 5 meilleurs produits suivent des trajectoires mensuelles quasi identiques (même pic d’octobre, même creux janv/déc) — même la dynamique temporelle des meilleurs vendeurs ne se différencie pas d’un produit à l’autre.</w:t>
      </w:r>
    </w:p>
    <w:bookmarkStart w:id="53" w:name="X51cac07fae2311e4fd96cd63200713edafd11fd"/>
    <w:p>
      <w:pPr>
        <w:pStyle w:val="Heading2"/>
      </w:pPr>
      <w:r>
        <w:t xml:space="preserve">6.1 Investigation RFM — le segment Churn Risk testé et invalidé</w:t>
      </w:r>
    </w:p>
    <w:p>
      <w:pPr>
        <w:pStyle w:val="FirstParagraph"/>
      </w:pPr>
      <w:r>
        <w:t xml:space="preserve">Plutôt que de se contenter de l’absence de différenciation en CA (constatée dès l’audit initial), une vérification directe de l’hypothèse RFM (Récence, Fréquence) a été menée en fin de projet, avec deux niveaux de rigueur croissante :</w:t>
      </w:r>
    </w:p>
    <w:p>
      <w:pPr>
        <w:numPr>
          <w:ilvl w:val="0"/>
          <w:numId w:val="1021"/>
        </w:numPr>
      </w:pPr>
      <w:r>
        <w:t xml:space="preserve">Fréquence moyenne de transactions par client, par segment : de 9,96 à 10,03 — écart de 0,7%, le plus faible mesuré sur tout le projet.</w:t>
      </w:r>
    </w:p>
    <w:p>
      <w:pPr>
        <w:numPr>
          <w:ilvl w:val="0"/>
          <w:numId w:val="1021"/>
        </w:numPr>
      </w:pPr>
      <w:r>
        <w:t xml:space="preserve">Date de dernière transaction par segment (MAX) : strictement identique pour les 10 segments (26/12/2024, dernier jour de données) — test biaisé par la taille des segments (avec ~10 000 clients par segment, au moins un achat le dernier jour est quasi certain), donc non conclusif à lui seul.</w:t>
      </w:r>
    </w:p>
    <w:p>
      <w:pPr>
        <w:numPr>
          <w:ilvl w:val="0"/>
          <w:numId w:val="1021"/>
        </w:numPr>
      </w:pPr>
      <w:r>
        <w:t xml:space="preserve">Récence moyenne calculée par client individuel puis agrégée par segment (méthode robuste, non biaisée par la taille du groupe) : de 42,02 à 42,63 jours — écart de 1,4%. Churn Risk (42,37 jours) est statistiquement indiscernable de High Value (42,37) et Loyal Customer (42,37).</w:t>
      </w:r>
    </w:p>
    <w:p>
      <w:pPr>
        <w:pStyle w:val="FirstParagraph"/>
      </w:pPr>
      <w:r>
        <w:rPr>
          <w:bCs/>
          <w:b/>
        </w:rPr>
        <w:t xml:space="preserve">Conclusion établie par test statistique, pas par déduction : le label customer_segment ne reflète aucune différence mesurable de comportement d’achat (ni fréquence, ni récence individuelle). Il s’agit très probablement d’une catégorisation assignée en amont (arbitraire ou aléatoire lors de la génération du dataset), pas d’un score comportemental calculé.</w:t>
      </w:r>
    </w:p>
    <w:p>
      <w:pPr>
        <w:pStyle w:val="BodyText"/>
      </w:pPr>
      <w:r>
        <w:rPr>
          <w:bCs/>
          <w:b/>
        </w:rPr>
        <w:t xml:space="preserve">Les deux seules sources de variance réelle et exploitable identifiées sur l’ensemble du dataset (avant la découverte de la section 11.6) :</w:t>
      </w:r>
    </w:p>
    <w:p>
      <w:pPr>
        <w:numPr>
          <w:ilvl w:val="0"/>
          <w:numId w:val="1022"/>
        </w:numPr>
      </w:pPr>
      <w:r>
        <w:t xml:space="preserve">Le ROI par campagne individuelle (54,78% à 520,28%, soit un facteur ×9,5) — piloté par la taille du budget, pas par le CA généré (qui lui-même varie peu).</w:t>
      </w:r>
    </w:p>
    <w:p>
      <w:pPr>
        <w:numPr>
          <w:ilvl w:val="0"/>
          <w:numId w:val="1022"/>
        </w:numPr>
      </w:pPr>
      <w:r>
        <w:t xml:space="preserve">La répartition par rôle commercial (14-16% d’écart, Sales Associate en tête, Senior Salesperson en dernier) — nuancée en section 11.6 : ce n’est en réalité pas une variance de performance individuelle.</w:t>
      </w:r>
    </w:p>
    <w:p>
      <w:pPr>
        <w:numPr>
          <w:ilvl w:val="0"/>
          <w:numId w:val="1022"/>
        </w:numPr>
      </w:pPr>
      <w:r>
        <w:t xml:space="preserve">La saisonnalité mensuelle du CA (de ≈0,05Md€ en janvier à un pic à ≈0,43Md€ en octobre) — la vraie histoire temporelle du dataset.</w:t>
      </w:r>
    </w:p>
    <w:bookmarkEnd w:id="53"/>
    <w:bookmarkEnd w:id="54"/>
    <w:bookmarkStart w:id="55" w:name="limites-connues-du-jeu-de-données"/>
    <w:p>
      <w:pPr>
        <w:pStyle w:val="Heading1"/>
      </w:pPr>
      <w:r>
        <w:t xml:space="preserve">7. Limites connues du jeu de données</w:t>
      </w:r>
    </w:p>
    <w:p>
      <w:pPr>
        <w:numPr>
          <w:ilvl w:val="0"/>
          <w:numId w:val="1023"/>
        </w:numPr>
      </w:pPr>
      <w:r>
        <w:t xml:space="preserve">Distribution quasi-uniforme à tous les niveaux de granularité testés (section 6) — cohérent avec une génération synthétique par distribution aléatoire plutôt qu’un reflet de dynamiques commerciales réelles contrastées.</w:t>
      </w:r>
    </w:p>
    <w:p>
      <w:pPr>
        <w:numPr>
          <w:ilvl w:val="0"/>
          <w:numId w:val="1023"/>
        </w:numPr>
      </w:pPr>
      <w:r>
        <w:t xml:space="preserve">Segment « Churn Risk » : le CA et le nombre de clients de ce segment ne se distinguent pas des 9 autres (5e/10). Combiné au taux de clients actifs ≈100% sur l’ensemble de la base, tout indique que ce label est une catégorie assignée en amont (arbitraire ou aléatoire), pas un score comportemental calculé (RFM). Aucune activité de désengagement mesurable n’est observable dans les transactions.</w:t>
      </w:r>
    </w:p>
    <w:p>
      <w:pPr>
        <w:numPr>
          <w:ilvl w:val="0"/>
          <w:numId w:val="1023"/>
        </w:numPr>
      </w:pPr>
      <w:r>
        <w:t xml:space="preserve">dim_dates ne couvre que l’année 2024 — toute mesure de comparaison YoY (M14, CA Année Précédente) est structurellement dormante (renvoie BLANK() partout), pas buguée.</w:t>
      </w:r>
    </w:p>
    <w:p>
      <w:pPr>
        <w:numPr>
          <w:ilvl w:val="0"/>
          <w:numId w:val="1023"/>
        </w:numPr>
      </w:pPr>
      <w:r>
        <w:t xml:space="preserve">ROI par campagne : mesure un rapport CA-attribué/budget, pas un effet marginal réel (incrément de CA causé par la campagne) — le modèle de données attribue tout le CA d’une période à la campagne active, sans contrôle contrefactuel.</w:t>
      </w:r>
    </w:p>
    <w:p>
      <w:pPr>
        <w:numPr>
          <w:ilvl w:val="0"/>
          <w:numId w:val="1023"/>
        </w:numPr>
      </w:pPr>
      <w:r>
        <w:t xml:space="preserve">Homonymies structurelles dans 3 des 6 dimensions (salespersons, products, stores) — corrigées pour les visuels construits, mais à vérifier systématiquement avant tout nouveau visuel groupant par un champ texte non garanti unique.</w:t>
      </w:r>
    </w:p>
    <w:p>
      <w:pPr>
        <w:numPr>
          <w:ilvl w:val="0"/>
          <w:numId w:val="1023"/>
        </w:numPr>
      </w:pPr>
      <w:r>
        <w:t xml:space="preserve">Écart par rôle commercial (14-16%) : confirmé être un effet de volume d’effectif, pas de performance individuelle — voir section 11.6. À ne plus présenter comme une</w:t>
      </w:r>
      <w:r>
        <w:t xml:space="preserve"> </w:t>
      </w:r>
      <w:r>
        <w:t xml:space="preserve">“</w:t>
      </w:r>
      <w:r>
        <w:t xml:space="preserve">vraie source de variance</w:t>
      </w:r>
      <w:r>
        <w:t xml:space="preserve">”</w:t>
      </w:r>
      <w:r>
        <w:t xml:space="preserve"> </w:t>
      </w:r>
      <w:r>
        <w:t xml:space="preserve">sans cette nuance.</w:t>
      </w:r>
    </w:p>
    <w:bookmarkEnd w:id="55"/>
    <w:bookmarkStart w:id="56" w:name="points-en-attente-à-finaliser"/>
    <w:p>
      <w:pPr>
        <w:pStyle w:val="Heading1"/>
      </w:pPr>
      <w:r>
        <w:t xml:space="preserve">8. Points en attente / à finaliser</w:t>
      </w:r>
    </w:p>
    <w:p>
      <w:pPr>
        <w:numPr>
          <w:ilvl w:val="0"/>
          <w:numId w:val="1024"/>
        </w:numPr>
      </w:pPr>
      <w:r>
        <w:t xml:space="preserve">Page 1 : flèche de tendance colorée sur la carte CA Mois En Cours (fonctionnalité « Étiquette de référence » identifiée, non terminée).</w:t>
      </w:r>
    </w:p>
    <w:p>
      <w:pPr>
        <w:numPr>
          <w:ilvl w:val="0"/>
          <w:numId w:val="1024"/>
        </w:numPr>
      </w:pPr>
      <w:r>
        <w:t xml:space="preserve">Page 3 : signet Focus_ChurnRisk + bouton</w:t>
      </w:r>
      <w:r>
        <w:t xml:space="preserve"> </w:t>
      </w:r>
      <w:r>
        <w:t xml:space="preserve">“</w:t>
      </w:r>
      <w:r>
        <w:t xml:space="preserve">Voir le détail →</w:t>
      </w:r>
      <w:r>
        <w:t xml:space="preserve">”</w:t>
      </w:r>
      <w:r>
        <w:t xml:space="preserve"> </w:t>
      </w:r>
      <w:r>
        <w:t xml:space="preserve">depuis la Page 1 — configuration en cours, difficultés rencontrées côté utilisateur sur les options du signet (case Données / gestion de l’action), reprise prévue ultérieurement. Voir section 11.5 pour la méthode détaillée à suivre à la reprise.</w:t>
      </w:r>
    </w:p>
    <w:p>
      <w:pPr>
        <w:numPr>
          <w:ilvl w:val="0"/>
          <w:numId w:val="1024"/>
        </w:numPr>
      </w:pPr>
      <w:r>
        <w:t xml:space="preserve">Passe de cohérence visuelle globale : polices, couleurs, alignement des cartes entre les 5 pages — largement traitée via le thème unique documenté en section 11.1, à vérifier une dernière fois à l’œil sur les 5 pages une fois toutes terminées.</w:t>
      </w:r>
    </w:p>
    <w:p>
      <w:pPr>
        <w:numPr>
          <w:ilvl w:val="0"/>
          <w:numId w:val="1024"/>
        </w:numPr>
      </w:pPr>
      <w:r>
        <w:t xml:space="preserve">Renommage de titres auto-générés restants à vérifier page par page (Power BI inclut parfois des champs d’info-bulle dans les titres automatiques) — conventions de nommage fixées en section 11.7, à appliquer aux pages 4 et 5 si pas encore fait.</w:t>
      </w:r>
    </w:p>
    <w:bookmarkEnd w:id="56"/>
    <w:bookmarkStart w:id="66" w:name="Xc46c714e7f9fafab9628825d663e69d2ee143fc"/>
    <w:p>
      <w:pPr>
        <w:pStyle w:val="Heading1"/>
      </w:pPr>
      <w:r>
        <w:t xml:space="preserve">9. Annexe pédagogique — pièges DAX à retenir (support de formation)</w:t>
      </w:r>
    </w:p>
    <w:p>
      <w:pPr>
        <w:pStyle w:val="FirstParagraph"/>
      </w:pPr>
      <w:r>
        <w:t xml:space="preserve">Cette section regroupe, indépendamment du projet, les mécanismes génériques rencontrés — utile comme base de slides ou d’exercices pour une formation DAX/Power Query orientée pièges réels plutôt que syntaxe théorique.</w:t>
      </w:r>
    </w:p>
    <w:bookmarkStart w:id="57" w:name="X8b538c59a6e94b05db726cee745dc7a6bc5e400"/>
    <w:p>
      <w:pPr>
        <w:pStyle w:val="Heading2"/>
      </w:pPr>
      <w:r>
        <w:t xml:space="preserve">9.1 CALCULATE : un filtre sur colonne remplace, il ne s’ajoute pas</w:t>
      </w:r>
    </w:p>
    <w:p>
      <w:pPr>
        <w:pStyle w:val="FirstParagraph"/>
      </w:pPr>
      <w:r>
        <w:t xml:space="preserve">Piège le plus contre-intuitif rencontré. Un argument de filtre CALCULATE portant sur une colonne (ex. NOT ISBLANK(table[colonne])) écrase tout filtre existant sur cette même colonne dans le contexte appelant, au lieu de s’y combiner. Symptôme typique : une mesure qui renvoie le même total partout dans un visuel censé la ventiler. Solution : envelopper le filtre dans KEEPFILTERS() pour forcer l’intersection plutôt que le remplacement.</w:t>
      </w:r>
    </w:p>
    <w:bookmarkEnd w:id="57"/>
    <w:bookmarkStart w:id="58" w:name="X5277ccd58d0a839d31d91665b3a841c8be7e121"/>
    <w:p>
      <w:pPr>
        <w:pStyle w:val="Heading2"/>
      </w:pPr>
      <w:r>
        <w:t xml:space="preserve">9.2 Regrouper par un champ texte non garanti unique</w:t>
      </w:r>
    </w:p>
    <w:p>
      <w:pPr>
        <w:pStyle w:val="FirstParagraph"/>
      </w:pPr>
      <w:r>
        <w:t xml:space="preserve">Toute colonne texte utilisée comme axe de regroupement (SUMMARIZE, axe de visuel) doit être vérifiée unique avant construction — sinon DISTINCTCOUNT et les agrégations par groupe fusionnent silencieusement des entités distinctes. Symptôme : un</w:t>
      </w:r>
      <w:r>
        <w:t xml:space="preserve"> </w:t>
      </w:r>
      <w:r>
        <w:t xml:space="preserve">“</w:t>
      </w:r>
      <w:r>
        <w:t xml:space="preserve">meilleur</w:t>
      </w:r>
      <w:r>
        <w:t xml:space="preserve">”</w:t>
      </w:r>
      <w:r>
        <w:t xml:space="preserve"> </w:t>
      </w:r>
      <w:r>
        <w:t xml:space="preserve">élément qui n’existe pas individuellement, ou une moyenne divisée par un nombre trop grand. Solution : toujours regrouper sur la clé technique unique (ID/SK), et ne résoudre le libellé lisible qu’à l’affichage final (LOOKUPVALUE) ou via une colonne d’affichage désambiguïsée (nom + ID) construite en Power Query.</w:t>
      </w:r>
    </w:p>
    <w:bookmarkEnd w:id="58"/>
    <w:bookmarkStart w:id="59" w:name="X4584de490e037f59f55196e10149caf27978fa7"/>
    <w:p>
      <w:pPr>
        <w:pStyle w:val="Heading2"/>
      </w:pPr>
      <w:r>
        <w:t xml:space="preserve">9.3 Double comptage par 100 (DAX × 100 + format Pourcentage natif)</w:t>
      </w:r>
    </w:p>
    <w:p>
      <w:pPr>
        <w:pStyle w:val="FirstParagraph"/>
      </w:pPr>
      <w:r>
        <w:t xml:space="preserve">Si le DAX multiplie déjà un ratio par 100 pour produire une valeur</w:t>
      </w:r>
      <w:r>
        <w:t xml:space="preserve"> </w:t>
      </w:r>
      <w:r>
        <w:t xml:space="preserve">“</w:t>
      </w:r>
      <w:r>
        <w:t xml:space="preserve">en points de pourcentage</w:t>
      </w:r>
      <w:r>
        <w:t xml:space="preserve">”</w:t>
      </w:r>
      <w:r>
        <w:t xml:space="preserve">, n’appliquez jamais en plus le format natif</w:t>
      </w:r>
      <w:r>
        <w:t xml:space="preserve"> </w:t>
      </w:r>
      <w:r>
        <w:t xml:space="preserve">“</w:t>
      </w:r>
      <w:r>
        <w:t xml:space="preserve">Pourcentage</w:t>
      </w:r>
      <w:r>
        <w:t xml:space="preserve">”</w:t>
      </w:r>
      <w:r>
        <w:t xml:space="preserve"> </w:t>
      </w:r>
      <w:r>
        <w:t xml:space="preserve">(qui multiplie systématiquement par 100 à l’affichage) — ou l’inverse, ne laissez jamais un DAX renvoyer un ratio brut avec un format</w:t>
      </w:r>
      <w:r>
        <w:t xml:space="preserve"> </w:t>
      </w:r>
      <w:r>
        <w:t xml:space="preserve">“</w:t>
      </w:r>
      <w:r>
        <w:t xml:space="preserve">Nombre</w:t>
      </w:r>
      <w:r>
        <w:t xml:space="preserve">”</w:t>
      </w:r>
      <w:r>
        <w:t xml:space="preserve"> </w:t>
      </w:r>
      <w:r>
        <w:t xml:space="preserve">simple en espérant un affichage en %. Choisir une seule des deux conventions et documenter le choix retenu pour tout le modèle.</w:t>
      </w:r>
    </w:p>
    <w:bookmarkEnd w:id="59"/>
    <w:bookmarkStart w:id="60" w:name="Xdbc129e208cb080338d20fee4a6a1b5db57ea62"/>
    <w:p>
      <w:pPr>
        <w:pStyle w:val="Heading2"/>
      </w:pPr>
      <w:r>
        <w:t xml:space="preserve">9.4 Asymétrie de granularité en time intelligence</w:t>
      </w:r>
    </w:p>
    <w:p>
      <w:pPr>
        <w:pStyle w:val="FirstParagraph"/>
      </w:pPr>
      <w:r>
        <w:t xml:space="preserve">Une mesure qui compare une période courante (non enveloppée dans CALCULATE, donc dépendante du grain du visuel appelant) à une période de référence calculée via PREVIOUSMONTH/PREVIOUSQUARTER (toujours au grain complet de la période) produit des résultats incohérents dès que le visuel affiche un grain plus fin que la période de référence. Toujours forcer explicitement le même grain des deux côtés de la comparaison (ex. CALCULATE + DATESBETWEEN/STARTOFQUARTER/ENDOFQUARTER).</w:t>
      </w:r>
    </w:p>
    <w:bookmarkEnd w:id="60"/>
    <w:bookmarkStart w:id="61" w:name="X1ac0d4b4e4963b9033e4e6d88191b01b27aed58"/>
    <w:p>
      <w:pPr>
        <w:pStyle w:val="Heading2"/>
      </w:pPr>
      <w:r>
        <w:t xml:space="preserve">9.5 Colonne de tri manquant sur un champ texte ordonné</w:t>
      </w:r>
    </w:p>
    <w:p>
      <w:pPr>
        <w:pStyle w:val="FirstParagraph"/>
      </w:pPr>
      <w:r>
        <w:t xml:space="preserve">Tout champ texte représentant un ordre naturel (mois, trimestre, catégorie hiérarchisée) doit être associé à une colonne numérique de tri via</w:t>
      </w:r>
      <w:r>
        <w:t xml:space="preserve"> </w:t>
      </w:r>
      <w:r>
        <w:t xml:space="preserve">“</w:t>
      </w:r>
      <w:r>
        <w:t xml:space="preserve">Trier par colonne</w:t>
      </w:r>
      <w:r>
        <w:t xml:space="preserve">”</w:t>
      </w:r>
      <w:r>
        <w:t xml:space="preserve">, sinon Power BI trie par défaut alphabétiquement. Rencontré plusieurs fois indépendamment sur ce projet (axe des mois en section 2, slicer Période et matrice Catégorie x Mois en section 11) — un réflexe systématique à chaque nouveau champ texte ordonné.</w:t>
      </w:r>
    </w:p>
    <w:bookmarkEnd w:id="61"/>
    <w:bookmarkStart w:id="62" w:name="treemap-et-tailles-de-blocs-trompeuses"/>
    <w:p>
      <w:pPr>
        <w:pStyle w:val="Heading2"/>
      </w:pPr>
      <w:r>
        <w:t xml:space="preserve">9.6 Treemap et tailles de blocs trompeuses</w:t>
      </w:r>
    </w:p>
    <w:p>
      <w:pPr>
        <w:pStyle w:val="FirstParagraph"/>
      </w:pPr>
      <w:r>
        <w:t xml:space="preserve">Avec un petit nombre de catégories de valeurs proches, l’algorithme squarified d’un treemap privilégie des rectangles bien proportionnés plutôt que des tailles strictement proportionnelles aux valeurs — deux blocs de valeurs quasi identiques peuvent apparaître visuellement très différents. Toujours accompagner un treemap d’étiquettes de valeur/pourcentage plutôt que de laisser l’utilisateur juger uniquement à l’œil. Décision finale prise en section 11.2 : le treemap Catégorie/Marque a été remplacé par des barres groupées avec étiquettes de valeur sur ce projet, précisément pour cette raison.</w:t>
      </w:r>
    </w:p>
    <w:bookmarkEnd w:id="62"/>
    <w:bookmarkStart w:id="63" w:name="X1f3472d9809b5755559347c108a53b7a9e1755b"/>
    <w:p>
      <w:pPr>
        <w:pStyle w:val="Heading2"/>
      </w:pPr>
      <w:r>
        <w:t xml:space="preserve">9.7 Barres empilées à 100% vs barres empilées (technique du faux Gantt)</w:t>
      </w:r>
    </w:p>
    <w:p>
      <w:pPr>
        <w:pStyle w:val="FirstParagraph"/>
      </w:pPr>
      <w:r>
        <w:t xml:space="preserve">Pour positionner des barres sur un axe continu commun (ex. simuler un diagramme de Gantt avec un segment invisible + un segment visible), le visuel doit impérativement être en mode</w:t>
      </w:r>
      <w:r>
        <w:t xml:space="preserve"> </w:t>
      </w:r>
      <w:r>
        <w:t xml:space="preserve">“</w:t>
      </w:r>
      <w:r>
        <w:t xml:space="preserve">Barres empilées</w:t>
      </w:r>
      <w:r>
        <w:t xml:space="preserve">”</w:t>
      </w:r>
      <w:r>
        <w:t xml:space="preserve"> </w:t>
      </w:r>
      <w:r>
        <w:t xml:space="preserve">standard. Le mode</w:t>
      </w:r>
      <w:r>
        <w:t xml:space="preserve"> </w:t>
      </w:r>
      <w:r>
        <w:t xml:space="preserve">“</w:t>
      </w:r>
      <w:r>
        <w:t xml:space="preserve">100%</w:t>
      </w:r>
      <w:r>
        <w:t xml:space="preserve">”</w:t>
      </w:r>
      <w:r>
        <w:t xml:space="preserve"> </w:t>
      </w:r>
      <w:r>
        <w:t xml:space="preserve">renormalise chaque barre à pleine largeur et détruit tout positionnement absolu.</w:t>
      </w:r>
    </w:p>
    <w:bookmarkEnd w:id="63"/>
    <w:bookmarkStart w:id="64" w:name="X017e9f885420675c520d704ae28c96c8653e2aa"/>
    <w:p>
      <w:pPr>
        <w:pStyle w:val="Heading2"/>
      </w:pPr>
      <w:r>
        <w:t xml:space="preserve">9.8 Référence de colonne nue dans un contexte multi-valeurs</w:t>
      </w:r>
    </w:p>
    <w:p>
      <w:pPr>
        <w:pStyle w:val="FirstParagraph"/>
      </w:pPr>
      <w:r>
        <w:t xml:space="preserve">table[colonne] IN {…} utilisé directement dans une mesure lève une erreur dès que le contexte contient plusieurs valeurs distinctes de cette colonne (ex. une carte sans slicer actif). Toujours passer par SELECTEDVALUE(table[colonne]) pour obtenir BLANK() proprement dans ce cas plutôt qu’une erreur bloquante.</w:t>
      </w:r>
    </w:p>
    <w:bookmarkEnd w:id="64"/>
    <w:bookmarkStart w:id="65" w:name="Xafed0090c038d3a8945131f08f64ee7bbbb9c94"/>
    <w:p>
      <w:pPr>
        <w:pStyle w:val="Heading2"/>
      </w:pPr>
      <w:r>
        <w:t xml:space="preserve">9.9 Agrégation par défaut sur une colonne calculée glissée en Valeurs</w:t>
      </w:r>
    </w:p>
    <w:p>
      <w:pPr>
        <w:pStyle w:val="FirstParagraph"/>
      </w:pPr>
      <w:r>
        <w:t xml:space="preserve">Glisser une colonne calculée numérique (pas une mesure) dans la zone Valeurs d’un visuel déclenche une agrégation par défaut (généralement Somme), visible dans l’étiquette du champ (</w:t>
      </w:r>
      <w:r>
        <w:t xml:space="preserve">“</w:t>
      </w:r>
      <w:r>
        <w:t xml:space="preserve">Somme de…</w:t>
      </w:r>
      <w:r>
        <w:t xml:space="preserve">”</w:t>
      </w:r>
      <w:r>
        <w:t xml:space="preserve">). Si le grain du visuel garantit une seule ligne par catégorie (ex. une colonne par campagne dans une table à une ligne par campagne), le résultat numérique reste correct malgré l’étiquette trompeuse. Rencontré sur la Frise des Campagnes (section 11.4) avec les colonnes calculées Jours Depuis Debut Annee et campaign_duration_days — resolu par</w:t>
      </w:r>
      <w:r>
        <w:t xml:space="preserve"> </w:t>
      </w:r>
      <w:r>
        <w:t xml:space="preserve">“</w:t>
      </w:r>
      <w:r>
        <w:t xml:space="preserve">Renommer pour ce visuel</w:t>
      </w:r>
      <w:r>
        <w:t xml:space="preserve">”</w:t>
      </w:r>
      <w:r>
        <w:t xml:space="preserve"> </w:t>
      </w:r>
      <w:r>
        <w:t xml:space="preserve">plutôt que par un changement de logique.</w:t>
      </w:r>
    </w:p>
    <w:bookmarkEnd w:id="65"/>
    <w:bookmarkEnd w:id="66"/>
    <w:bookmarkStart w:id="75" w:name="X267d9a0f96758a5362f263c8dd49ee2b0922727"/>
    <w:p>
      <w:pPr>
        <w:pStyle w:val="Heading1"/>
      </w:pPr>
      <w:r>
        <w:t xml:space="preserve">10. Storytelling — synthèse pour comité de direction</w:t>
      </w:r>
    </w:p>
    <w:p>
      <w:pPr>
        <w:pStyle w:val="FirstParagraph"/>
      </w:pPr>
      <w:r>
        <w:t xml:space="preserve">Cette section reformule les constats techniques précédents en récit orienté décision — le format à utiliser pour une présentation devant des non-techniciens (Direction, Marketing, Commercial), en complément (pas en remplacement) des sections techniques ci-dessus.</w:t>
      </w:r>
    </w:p>
    <w:bookmarkStart w:id="67" w:name="contexte-en-une-phrase"/>
    <w:p>
      <w:pPr>
        <w:pStyle w:val="Heading2"/>
      </w:pPr>
      <w:r>
        <w:t xml:space="preserve">10.1 Contexte en une phrase</w:t>
      </w:r>
    </w:p>
    <w:p>
      <w:pPr>
        <w:pStyle w:val="FirstParagraph"/>
      </w:pPr>
      <w:r>
        <w:t xml:space="preserve">Un an de ventes retail (1 000 000 de transactions, 2,75 Md€ de CA, 100 000 clients, 500 magasins, 2000 commerciaux, 50 campagnes) a été audité, corrigé et mis en dashboard — avec une attention particulière portée à la fiabilité des chiffres avant leur présentation.</w:t>
      </w:r>
    </w:p>
    <w:bookmarkEnd w:id="67"/>
    <w:bookmarkStart w:id="71" w:name="les-3-messages-clés-par-ordre-dimpact"/>
    <w:p>
      <w:pPr>
        <w:pStyle w:val="Heading2"/>
      </w:pPr>
      <w:r>
        <w:t xml:space="preserve">10.2 Les 3 messages clés, par ordre d’impact</w:t>
      </w:r>
    </w:p>
    <w:bookmarkStart w:id="68" w:name="X6445b0da26abf1a6be6e1116e90dacbeff0895a"/>
    <w:p>
      <w:pPr>
        <w:pStyle w:val="Heading3"/>
      </w:pPr>
      <w:r>
        <w:t xml:space="preserve">Message 1 — La performance est homogène partout, sauf à un endroit précis (mise à jour en section 11.6)</w:t>
      </w:r>
    </w:p>
    <w:p>
      <w:pPr>
        <w:pStyle w:val="FirstParagraph"/>
      </w:pPr>
      <w:r>
        <w:t xml:space="preserve">Contrairement à l’intuition qu’un audit commercial devrait révéler des</w:t>
      </w:r>
      <w:r>
        <w:t xml:space="preserve"> </w:t>
      </w:r>
      <w:r>
        <w:t xml:space="preserve">“</w:t>
      </w:r>
      <w:r>
        <w:t xml:space="preserve">champions</w:t>
      </w:r>
      <w:r>
        <w:t xml:space="preserve">”</w:t>
      </w:r>
      <w:r>
        <w:t xml:space="preserve"> </w:t>
      </w:r>
      <w:r>
        <w:t xml:space="preserve">et des</w:t>
      </w:r>
      <w:r>
        <w:t xml:space="preserve"> </w:t>
      </w:r>
      <w:r>
        <w:t xml:space="preserve">“</w:t>
      </w:r>
      <w:r>
        <w:t xml:space="preserve">mauvais élèves</w:t>
      </w:r>
      <w:r>
        <w:t xml:space="preserve">”</w:t>
      </w:r>
      <w:r>
        <w:t xml:space="preserve"> </w:t>
      </w:r>
      <w:r>
        <w:t xml:space="preserve">à chaque niveau (catégorie, marque, segment client, ville), ce n’est pas le cas ici : produits, catégories, marques et segments clients affichent tous une performance quasi identique (écarts inférieurs à 2-3%, jusqu’à 6 vérifications indépendantes convergentes). Le seul endroit où une vraie différence existe :</w:t>
      </w:r>
    </w:p>
    <w:p>
      <w:pPr>
        <w:numPr>
          <w:ilvl w:val="0"/>
          <w:numId w:val="1025"/>
        </w:numPr>
        <w:pStyle w:val="Compact"/>
      </w:pPr>
      <w:r>
        <w:t xml:space="preserve">Le retour sur investissement par campagne marketing (de 54,78% à 520,28%, un facteur de 9,5) — piloté par la taille du budget engagé, pas par la performance intrinsèque de la campagne.</w:t>
      </w:r>
    </w:p>
    <w:p>
      <w:pPr>
        <w:pStyle w:val="FirstParagraph"/>
      </w:pPr>
      <w:r>
        <w:t xml:space="preserve">L’écart de 14-16% par rôle commercial, initialement présenté comme une seconde source de variance possible, a été investigué plus précisément en section 11.6 : il s’agit d’un pur effet d’effectif (plus de commerciaux dans un rôle = plus de CA cumulé dans ce rôle, proportionnellement), pas d’une vraie différence de performance individuelle.</w:t>
      </w:r>
    </w:p>
    <w:p>
      <w:pPr>
        <w:pStyle w:val="BodyText"/>
      </w:pPr>
      <w:r>
        <w:t xml:space="preserve">Recommandation : concentrer les efforts d’optimisation budgétaire sur le ciblage des campagnes (où le levier ROI est démontré), plutôt que sur une réallocation entre catégories, segments clients ou rôles commerciaux (où aucun gain n’est mathématiquement disponible sur ce jeu de données).</w:t>
      </w:r>
    </w:p>
    <w:bookmarkEnd w:id="68"/>
    <w:bookmarkStart w:id="69" w:name="X7f7f8469b7f16945c6bac69b9ddc465d34d52d9"/>
    <w:p>
      <w:pPr>
        <w:pStyle w:val="Heading3"/>
      </w:pPr>
      <w:r>
        <w:t xml:space="preserve">Message 2 — Le segment « Churn Risk » n’est pas fiable en l’état</w:t>
      </w:r>
    </w:p>
    <w:p>
      <w:pPr>
        <w:pStyle w:val="FirstParagraph"/>
      </w:pPr>
      <w:r>
        <w:t xml:space="preserve">Un segment client nommé « Churn Risk » existe dans les données et pourrait légitimement inquiéter une direction marketing. Vérification faite (CA comparable aux 9 autres segments, fréquence d’achat quasi identique à 0,7% près, récence d’achat individuelle quasi identique à 1,4% près) : rien dans le comportement réel des clients de ce segment ne justifie l’étiquette. Le label semble assigné indépendamment du comportement d’achat.</w:t>
      </w:r>
    </w:p>
    <w:p>
      <w:pPr>
        <w:pStyle w:val="BodyText"/>
      </w:pPr>
      <w:r>
        <w:t xml:space="preserve">Recommandation : ne pas piloter d’action de rétention sur la base de ce label tant qu’un vrai score comportemental (calcul RFM réel, ou modèle prédictif) n’aura pas remplacé la catégorie actuelle.</w:t>
      </w:r>
    </w:p>
    <w:bookmarkEnd w:id="69"/>
    <w:bookmarkStart w:id="70" w:name="X8235701065f5bcb5497663a237bf61d1a8a70ac"/>
    <w:p>
      <w:pPr>
        <w:pStyle w:val="Heading3"/>
      </w:pPr>
      <w:r>
        <w:t xml:space="preserve">Message 3 — La saisonnalité est le vrai moteur de la performance</w:t>
      </w:r>
    </w:p>
    <w:p>
      <w:pPr>
        <w:pStyle w:val="FirstParagraph"/>
      </w:pPr>
      <w:r>
        <w:t xml:space="preserve">Le CA mensuel varie de ≈0,05 Md€ (janvier, mois partiel) à un pic de ≈0,43 Md€ (octobre) — la seule dynamique forte et incontestable de toute l’analyse, cohérente sur toutes les découpes testées (produits, catégories).</w:t>
      </w:r>
    </w:p>
    <w:p>
      <w:pPr>
        <w:pStyle w:val="BodyText"/>
      </w:pPr>
      <w:r>
        <w:t xml:space="preserve">Recommandation : aligner les temps forts commerciaux (recrutement saisonnier, niveaux de stock, budget publicitaire) sur ce calendrier plutôt que sur des arbitrages par catégorie ou segment, qui n’ont pas d’impact démontré.</w:t>
      </w:r>
    </w:p>
    <w:bookmarkEnd w:id="70"/>
    <w:bookmarkEnd w:id="71"/>
    <w:bookmarkStart w:id="72" w:name="X22c7f5e959cf1cd57bef21bd1738763604aa7df"/>
    <w:p>
      <w:pPr>
        <w:pStyle w:val="Heading2"/>
      </w:pPr>
      <w:r>
        <w:t xml:space="preserve">10.3 Ce qu’il faut assumer et dire clairement en présentation</w:t>
      </w:r>
    </w:p>
    <w:p>
      <w:pPr>
        <w:numPr>
          <w:ilvl w:val="0"/>
          <w:numId w:val="1026"/>
        </w:numPr>
      </w:pPr>
      <w:r>
        <w:t xml:space="preserve">La volumétrie exacte (1 000 000 lignes, 2,75 Md€) doit être citée sans hésitation — vérifiée à plusieurs reprises par recoupement indépendant.</w:t>
      </w:r>
    </w:p>
    <w:p>
      <w:pPr>
        <w:numPr>
          <w:ilvl w:val="0"/>
          <w:numId w:val="1026"/>
        </w:numPr>
      </w:pPr>
      <w:r>
        <w:t xml:space="preserve">Le ROI par campagne peut afficher des valeurs à 3 chiffres (jusqu’à 520%) : ce n’est pas une erreur d’affichage, c’est la conséquence directe de budgets marketing très inférieurs au CA attribué — à expliquer en une phrase pour éviter tout doute sur la fiabilité du chiffre.</w:t>
      </w:r>
    </w:p>
    <w:p>
      <w:pPr>
        <w:numPr>
          <w:ilvl w:val="0"/>
          <w:numId w:val="1026"/>
        </w:numPr>
      </w:pPr>
      <w:r>
        <w:t xml:space="preserve">L’absence de différenciation entre catégories/segments/marques/rôles n’est pas un échec de l’analyse : c’est un résultat en soi, obtenu par vérification systématique plutôt que supposé — à présenter comme une force méthodologique, pas comme un manque de résultats.</w:t>
      </w:r>
    </w:p>
    <w:bookmarkEnd w:id="72"/>
    <w:bookmarkStart w:id="73" w:name="recommandations-hiérarchisées"/>
    <w:p>
      <w:pPr>
        <w:pStyle w:val="Heading2"/>
      </w:pPr>
      <w:r>
        <w:t xml:space="preserve">10.4 Recommandations hiérarchisées</w:t>
      </w:r>
    </w:p>
    <w:p>
      <w:pPr>
        <w:numPr>
          <w:ilvl w:val="0"/>
          <w:numId w:val="1027"/>
        </w:numPr>
        <w:pStyle w:val="Compact"/>
      </w:pPr>
    </w:p>
    <w:p>
      <w:pPr>
        <w:numPr>
          <w:ilvl w:val="1"/>
          <w:numId w:val="1028"/>
        </w:numPr>
        <w:pStyle w:val="Compact"/>
      </w:pPr>
      <w:r>
        <w:t xml:space="preserve">Prioriser le budget marketing sur les campagnes à fort ROI démontré (Green Weekend Deals et similaires) plutôt que sur une répartition uniforme entre les 50 campagnes.</w:t>
      </w:r>
    </w:p>
    <w:p>
      <w:pPr>
        <w:numPr>
          <w:ilvl w:val="0"/>
          <w:numId w:val="1027"/>
        </w:numPr>
        <w:pStyle w:val="Compact"/>
      </w:pPr>
    </w:p>
    <w:p>
      <w:pPr>
        <w:numPr>
          <w:ilvl w:val="1"/>
          <w:numId w:val="1029"/>
        </w:numPr>
        <w:pStyle w:val="Compact"/>
      </w:pPr>
      <w:r>
        <w:t xml:space="preserve">Suspendre toute action de rétention basée sur le segment Churn Risk actuel, et lancer un vrai calcul RFM avant d’agir.</w:t>
      </w:r>
    </w:p>
    <w:p>
      <w:pPr>
        <w:numPr>
          <w:ilvl w:val="0"/>
          <w:numId w:val="1027"/>
        </w:numPr>
        <w:pStyle w:val="Compact"/>
      </w:pPr>
    </w:p>
    <w:p>
      <w:pPr>
        <w:numPr>
          <w:ilvl w:val="1"/>
          <w:numId w:val="1030"/>
        </w:numPr>
        <w:pStyle w:val="Compact"/>
      </w:pPr>
      <w:r>
        <w:t xml:space="preserve">Caler les pics d’activité opérationnelle (stock, effectifs, publicité) sur la saisonnalité observée (creux janvier/décembre, pic septembre-novembre).</w:t>
      </w:r>
    </w:p>
    <w:p>
      <w:pPr>
        <w:numPr>
          <w:ilvl w:val="0"/>
          <w:numId w:val="1027"/>
        </w:numPr>
        <w:pStyle w:val="Compact"/>
      </w:pPr>
    </w:p>
    <w:p>
      <w:pPr>
        <w:numPr>
          <w:ilvl w:val="1"/>
          <w:numId w:val="1031"/>
        </w:numPr>
        <w:pStyle w:val="Compact"/>
      </w:pPr>
      <w:r>
        <w:t xml:space="preserve">Ne pas tirer de conclusion RH ou managériale de l’écart brut de CA entre rôles commerciaux — l’investigation (section 11.6) montre qu’il s’agit d’un effet d’effectif, pas de performance.</w:t>
      </w:r>
    </w:p>
    <w:bookmarkEnd w:id="73"/>
    <w:bookmarkStart w:id="74" w:name="une-minute-de-conclusion"/>
    <w:p>
      <w:pPr>
        <w:pStyle w:val="Heading2"/>
      </w:pPr>
      <w:r>
        <w:t xml:space="preserve">10.5 Une minute de conclusion</w:t>
      </w:r>
    </w:p>
    <w:p>
      <w:pPr>
        <w:pStyle w:val="FirstParagraph"/>
      </w:pPr>
      <w:r>
        <w:rPr>
          <w:iCs/>
          <w:i/>
        </w:rPr>
        <w:t xml:space="preserve">Ce projet démontre une méthode plus qu’un résultat spectaculaire : chaque chiffre présenté a été recoupé avec les données sources avant d’être affiché, six bugs réels ont été trouvés et corrigés (pas seulement des bugs visibles a priori — plusieurs n’affectaient qu’un sous-ensemble de cas, comme les homonymies), et trois hypothèses intuitives (le potentiel du segment Churn Risk, la lecture brute du ROI, l’écart de performance par rôle commercial) ont été testées puis nuancées plutôt qu’acceptées telles quelles. C’est cette rigueur de vérification, reproductible sur n’importe quel dataset, qui constitue la vraie compétence démontrée par ce projet.</w:t>
      </w:r>
    </w:p>
    <w:bookmarkEnd w:id="74"/>
    <w:bookmarkEnd w:id="75"/>
    <w:bookmarkStart w:id="85" w:name="X81137bb19198992e00c758440189af2e50c9e75"/>
    <w:p>
      <w:pPr>
        <w:pStyle w:val="Heading1"/>
      </w:pPr>
      <w:r>
        <w:t xml:space="preserve">11. Journal de conception du dashboard Power BI — thème, structure, mesures et découvertes</w:t>
      </w:r>
    </w:p>
    <w:p>
      <w:pPr>
        <w:pStyle w:val="FirstParagraph"/>
      </w:pPr>
      <w:r>
        <w:t xml:space="preserve">Cette section documente la phase de conception visuelle réalisée après l’audit (sections 1 à 10), en mode mentorat pas-à-pas : décisions de thème, construction des 5 pages, interactions entre visuels, nouvelles mesures créées, et une découverte analytique qui nuance un des constats de la section 6.</w:t>
      </w:r>
    </w:p>
    <w:bookmarkStart w:id="76" w:name="X7a3a1d50646ac15a8747faadb95473bc3a1fb6d"/>
    <w:p>
      <w:pPr>
        <w:pStyle w:val="Heading2"/>
      </w:pPr>
      <w:r>
        <w:t xml:space="preserve">11.1 Décision de thème — un thème unique plutôt que 5 thèmes par page</w:t>
      </w:r>
    </w:p>
    <w:p>
      <w:pPr>
        <w:pStyle w:val="FirstParagraph"/>
      </w:pPr>
      <w:r>
        <w:t xml:space="preserve">Une première tentative a consisté à définir 5 thèmes JSON différents, un par page (violet, bleu/vert, vert, or/noir, gris/argent), avec des couleurs de fond de page variant du blanc au noir selon la page. Cette approche a été abandonnée pour deux raisons :</w:t>
      </w:r>
    </w:p>
    <w:p>
      <w:pPr>
        <w:numPr>
          <w:ilvl w:val="0"/>
          <w:numId w:val="1032"/>
        </w:numPr>
      </w:pPr>
      <w:r>
        <w:rPr>
          <w:bCs/>
          <w:b/>
        </w:rPr>
        <w:t xml:space="preserve">Limite technique</w:t>
      </w:r>
      <w:r>
        <w:t xml:space="preserve"> </w:t>
      </w:r>
      <w:r>
        <w:t xml:space="preserve">: Power BI n’applique un thème JSON qu’à l’échelle du fichier .pbix entier, pas page par page. Importer 5 thèmes successivement écrase silencieusement les précédents à chaque rechargement — seul le dernier thème importé reste actif partout.</w:t>
      </w:r>
    </w:p>
    <w:p>
      <w:pPr>
        <w:numPr>
          <w:ilvl w:val="0"/>
          <w:numId w:val="1032"/>
        </w:numPr>
      </w:pPr>
      <w:r>
        <w:rPr>
          <w:bCs/>
          <w:b/>
        </w:rPr>
        <w:t xml:space="preserve">Risque de cohérence portfolio</w:t>
      </w:r>
      <w:r>
        <w:t xml:space="preserve"> </w:t>
      </w:r>
      <w:r>
        <w:t xml:space="preserve">: 5 palettes radicalement différentes (y compris des fonds de page sombres avec faible contraste sur certaines) donnent l’impression de plusieurs exercices assemblés plutôt qu’un dashboard conçu avec une vision d’ensemble — signal négatif en contexte de revue de portfolio ou d’entretien.</w:t>
      </w:r>
    </w:p>
    <w:p>
      <w:pPr>
        <w:pStyle w:val="FirstParagraph"/>
      </w:pPr>
      <w:r>
        <w:rPr>
          <w:bCs/>
          <w:b/>
        </w:rPr>
        <w:t xml:space="preserve">Décision retenue</w:t>
      </w:r>
      <w:r>
        <w:t xml:space="preserve"> </w:t>
      </w:r>
      <w:r>
        <w:t xml:space="preserve">: un thème unique,</w:t>
      </w:r>
      <w:r>
        <w:t xml:space="preserve"> </w:t>
      </w:r>
      <w:r>
        <w:rPr>
          <w:rStyle w:val="VerbatimChar"/>
        </w:rPr>
        <w:t xml:space="preserve">Retail_Violet_Theme_Complet.json</w:t>
      </w:r>
      <w:r>
        <w:t xml:space="preserve">, appliqué à l’ensemble du rapport. La différenciation visuelle entre pages, si souhaitée plus tard, doit passer par des éléments discrets (icône à côté du titre, fine bande d’accent) et non par un changement de palette complète.</w:t>
      </w:r>
    </w:p>
    <w:bookmarkEnd w:id="76"/>
    <w:bookmarkStart w:id="77" w:name="contenu-du-thème-complet"/>
    <w:p>
      <w:pPr>
        <w:pStyle w:val="Heading2"/>
      </w:pPr>
      <w:r>
        <w:t xml:space="preserve">11.2 Contenu du thème complet</w:t>
      </w:r>
    </w:p>
    <w:p>
      <w:pPr>
        <w:pStyle w:val="FirstParagraph"/>
      </w:pPr>
      <w:r>
        <w:t xml:space="preserve">Le thème couvre, en plus des couleurs de données de base (palette violette,</w:t>
      </w:r>
      <w:r>
        <w:t xml:space="preserve"> </w:t>
      </w:r>
      <w:r>
        <w:rPr>
          <w:rStyle w:val="VerbatimChar"/>
        </w:rPr>
        <w:t xml:space="preserve">good</w:t>
      </w:r>
      <w:r>
        <w:t xml:space="preserve">/</w:t>
      </w:r>
      <w:r>
        <w:rPr>
          <w:rStyle w:val="VerbatimChar"/>
        </w:rPr>
        <w:t xml:space="preserve">bad</w:t>
      </w:r>
      <w:r>
        <w:t xml:space="preserve">/</w:t>
      </w:r>
      <w:r>
        <w:rPr>
          <w:rStyle w:val="VerbatimChar"/>
        </w:rPr>
        <w:t xml:space="preserve">neutral</w:t>
      </w:r>
      <w:r>
        <w:t xml:space="preserve"> </w:t>
      </w:r>
      <w:r>
        <w:t xml:space="preserve">conservés en vert/rouge/ambre pour la lisibilité binaire)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Composant</w:t>
            </w:r>
          </w:p>
        </w:tc>
        <w:tc>
          <w:tcPr/>
          <w:p>
            <w:pPr>
              <w:pStyle w:val="Compact"/>
              <w:jc w:val="left"/>
            </w:pPr>
            <w:r>
              <w:t xml:space="preserve">Réglage</w:t>
            </w:r>
          </w:p>
        </w:tc>
      </w:tr>
      <w:tr>
        <w:tc>
          <w:tcPr/>
          <w:p>
            <w:pPr>
              <w:pStyle w:val="Compact"/>
              <w:jc w:val="left"/>
            </w:pPr>
            <w:r>
              <w:t xml:space="preserve">Page / toile</w:t>
            </w:r>
          </w:p>
        </w:tc>
        <w:tc>
          <w:tcPr/>
          <w:p>
            <w:pPr>
              <w:pStyle w:val="Compact"/>
              <w:jc w:val="left"/>
            </w:pPr>
            <w:r>
              <w:t xml:space="preserve">Fond blanc</w:t>
            </w:r>
            <w:r>
              <w:t xml:space="preserve"> </w:t>
            </w:r>
            <w:r>
              <w:rPr>
                <w:rStyle w:val="VerbatimChar"/>
              </w:rPr>
              <w:t xml:space="preserve">#FFFFFF</w:t>
            </w:r>
            <w:r>
              <w:t xml:space="preserve">, style flat (aucune ombre nulle part)</w:t>
            </w:r>
          </w:p>
        </w:tc>
      </w:tr>
      <w:tr>
        <w:tc>
          <w:tcPr/>
          <w:p>
            <w:pPr>
              <w:pStyle w:val="Compact"/>
              <w:jc w:val="left"/>
            </w:pPr>
            <w:r>
              <w:t xml:space="preserve">Cartes KPI</w:t>
            </w:r>
          </w:p>
        </w:tc>
        <w:tc>
          <w:tcPr/>
          <w:p>
            <w:pPr>
              <w:pStyle w:val="Compact"/>
              <w:jc w:val="left"/>
            </w:pPr>
            <w:r>
              <w:t xml:space="preserve">Fond</w:t>
            </w:r>
            <w:r>
              <w:t xml:space="preserve"> </w:t>
            </w:r>
            <w:r>
              <w:rPr>
                <w:rStyle w:val="VerbatimChar"/>
              </w:rPr>
              <w:t xml:space="preserve">#F3EEF9</w:t>
            </w:r>
            <w:r>
              <w:t xml:space="preserve">, bordure</w:t>
            </w:r>
            <w:r>
              <w:t xml:space="preserve"> </w:t>
            </w:r>
            <w:r>
              <w:rPr>
                <w:rStyle w:val="VerbatimChar"/>
              </w:rPr>
              <w:t xml:space="preserve">#D1C4E9</w:t>
            </w:r>
            <w:r>
              <w:t xml:space="preserve"> </w:t>
            </w:r>
            <w:r>
              <w:t xml:space="preserve">1px, coins arrondis 8px</w:t>
            </w:r>
          </w:p>
        </w:tc>
      </w:tr>
      <w:tr>
        <w:tc>
          <w:tcPr/>
          <w:p>
            <w:pPr>
              <w:pStyle w:val="Compact"/>
              <w:jc w:val="left"/>
            </w:pPr>
            <w:r>
              <w:t xml:space="preserve">Segments (slicers)</w:t>
            </w:r>
          </w:p>
        </w:tc>
        <w:tc>
          <w:tcPr/>
          <w:p>
            <w:pPr>
              <w:pStyle w:val="Compact"/>
              <w:jc w:val="left"/>
            </w:pPr>
            <w:r>
              <w:t xml:space="preserve">En-tête violet sur fond lavande, aucune ombre — séparation par contraste de fond, pas par effet de profondeur</w:t>
            </w:r>
          </w:p>
        </w:tc>
      </w:tr>
      <w:tr>
        <w:tc>
          <w:tcPr/>
          <w:p>
            <w:pPr>
              <w:pStyle w:val="Compact"/>
              <w:jc w:val="left"/>
            </w:pPr>
            <w:r>
              <w:t xml:space="preserve">Courbes / barres / aires</w:t>
            </w:r>
          </w:p>
        </w:tc>
        <w:tc>
          <w:tcPr/>
          <w:p>
            <w:pPr>
              <w:pStyle w:val="Compact"/>
              <w:jc w:val="left"/>
            </w:pPr>
            <w:r>
              <w:t xml:space="preserve">Accent violet par défaut, axes gris-bleu neutre, grille très pâle</w:t>
            </w:r>
          </w:p>
        </w:tc>
      </w:tr>
      <w:tr>
        <w:tc>
          <w:tcPr/>
          <w:p>
            <w:pPr>
              <w:pStyle w:val="Compact"/>
              <w:jc w:val="left"/>
            </w:pPr>
            <w:r>
              <w:t xml:space="preserve">Donut / Pie</w:t>
            </w:r>
          </w:p>
        </w:tc>
        <w:tc>
          <w:tcPr/>
          <w:p>
            <w:pPr>
              <w:pStyle w:val="Compact"/>
              <w:jc w:val="left"/>
            </w:pPr>
            <w:r>
              <w:t xml:space="preserve">Anneau à 60% d’ouverture, étiquettes en pourcentage</w:t>
            </w:r>
          </w:p>
        </w:tc>
      </w:tr>
      <w:tr>
        <w:tc>
          <w:tcPr/>
          <w:p>
            <w:pPr>
              <w:pStyle w:val="Compact"/>
              <w:jc w:val="left"/>
            </w:pPr>
            <w:r>
              <w:t xml:space="preserve">Treemap</w:t>
            </w:r>
          </w:p>
        </w:tc>
        <w:tc>
          <w:tcPr/>
          <w:p>
            <w:pPr>
              <w:pStyle w:val="Compact"/>
              <w:jc w:val="left"/>
            </w:pPr>
            <w:r>
              <w:t xml:space="preserve">Prévu dans le thème mais volontairement écarté du design (voir 11.3)</w:t>
            </w:r>
          </w:p>
        </w:tc>
      </w:tr>
      <w:tr>
        <w:tc>
          <w:tcPr/>
          <w:p>
            <w:pPr>
              <w:pStyle w:val="Compact"/>
              <w:jc w:val="left"/>
            </w:pPr>
            <w:r>
              <w:t xml:space="preserve">Table / Matrice</w:t>
            </w:r>
          </w:p>
        </w:tc>
        <w:tc>
          <w:tcPr/>
          <w:p>
            <w:pPr>
              <w:pStyle w:val="Compact"/>
              <w:jc w:val="left"/>
            </w:pPr>
            <w:r>
              <w:t xml:space="preserve">En-têtes violet foncé/texte blanc, lignes alternées, ligne de total distincte</w:t>
            </w:r>
          </w:p>
        </w:tc>
      </w:tr>
      <w:tr>
        <w:tc>
          <w:tcPr/>
          <w:p>
            <w:pPr>
              <w:pStyle w:val="Compact"/>
              <w:jc w:val="left"/>
            </w:pPr>
            <w:r>
              <w:t xml:space="preserve">Boutons</w:t>
            </w:r>
          </w:p>
        </w:tc>
        <w:tc>
          <w:tcPr/>
          <w:p>
            <w:pPr>
              <w:pStyle w:val="Compact"/>
              <w:jc w:val="left"/>
            </w:pPr>
            <w:r>
              <w:t xml:space="preserve">Fond lavande clair, texte violet foncé, cohérent avec les boutons de navigation et d’action (signets)</w:t>
            </w:r>
          </w:p>
        </w:tc>
      </w:tr>
      <w:tr>
        <w:tc>
          <w:tcPr/>
          <w:p>
            <w:pPr>
              <w:pStyle w:val="Compact"/>
              <w:jc w:val="left"/>
            </w:pPr>
            <w:r>
              <w:t xml:space="preserve">Info-bulles</w:t>
            </w:r>
          </w:p>
        </w:tc>
        <w:tc>
          <w:tcPr/>
          <w:p>
            <w:pPr>
              <w:pStyle w:val="Compact"/>
              <w:jc w:val="left"/>
            </w:pPr>
            <w:r>
              <w:t xml:space="preserve">Fond blanc, texte neutre</w:t>
            </w:r>
          </w:p>
        </w:tc>
      </w:tr>
    </w:tbl>
    <w:p>
      <w:pPr>
        <w:pStyle w:val="BodyText"/>
      </w:pPr>
      <w:r>
        <w:t xml:space="preserve">Fichier de référence :</w:t>
      </w:r>
      <w:r>
        <w:t xml:space="preserve"> </w:t>
      </w:r>
      <w:r>
        <w:rPr>
          <w:rStyle w:val="VerbatimChar"/>
        </w:rPr>
        <w:t xml:space="preserve">Retail_Violet_Theme_Complet.json</w:t>
      </w:r>
      <w:r>
        <w:t xml:space="preserve">, importé via Affichage &gt; Thèmes &gt; Parcourir les thèmes.</w:t>
      </w:r>
    </w:p>
    <w:bookmarkEnd w:id="77"/>
    <w:bookmarkStart w:id="78" w:name="X0cd79a2fc56d3a121a1b8aa19dd497c28687c29"/>
    <w:p>
      <w:pPr>
        <w:pStyle w:val="Heading2"/>
      </w:pPr>
      <w:r>
        <w:t xml:space="preserve">11.3 Décision — Treemap remplacé par des barres groupées (Page 2)</w:t>
      </w:r>
    </w:p>
    <w:p>
      <w:pPr>
        <w:pStyle w:val="FirstParagraph"/>
      </w:pPr>
      <w:r>
        <w:t xml:space="preserve">Le Treemap Catégorie/Marque prévu initialement a été remplacé par un graphique à barres groupées avec étiquettes de valeur obligatoires. Motif : l’écart entre marques d’une même catégorie est de l’ordre de 2,5% (section 6), et l’algorithme squarified d’un treemap exagère visuellement des différences de cette ampleur (piège documenté en 9.6) — un graphique en barres avec chiffres explicites est plus honnête sur un dataset aussi homogène.</w:t>
      </w:r>
    </w:p>
    <w:bookmarkEnd w:id="78"/>
    <w:bookmarkStart w:id="79" w:name="X966fc06f8bb922d4c0906ff6e02c883f8b0c535"/>
    <w:p>
      <w:pPr>
        <w:pStyle w:val="Heading2"/>
      </w:pPr>
      <w:r>
        <w:t xml:space="preserve">11.4 Construction de la Frise des Campagnes — points techniques rencontrés</w:t>
      </w:r>
    </w:p>
    <w:p>
      <w:pPr>
        <w:pStyle w:val="FirstParagraph"/>
      </w:pPr>
      <w:r>
        <w:t xml:space="preserve">En plus du piège déjà documenté (9.7, barres empilées standard vs 100%), deux points techniques supplémentaires ont été rencontrés lors de la construction réelle :</w:t>
      </w:r>
    </w:p>
    <w:p>
      <w:pPr>
        <w:numPr>
          <w:ilvl w:val="0"/>
          <w:numId w:val="1033"/>
        </w:numPr>
      </w:pPr>
      <w:r>
        <w:rPr>
          <w:bCs/>
          <w:b/>
        </w:rPr>
        <w:t xml:space="preserve">Agrégation par défaut sur colonne calculée</w:t>
      </w:r>
      <w:r>
        <w:t xml:space="preserve"> </w:t>
      </w:r>
      <w:r>
        <w:t xml:space="preserve">: glisser</w:t>
      </w:r>
      <w:r>
        <w:t xml:space="preserve"> </w:t>
      </w:r>
      <w:r>
        <w:rPr>
          <w:rStyle w:val="VerbatimChar"/>
        </w:rPr>
        <w:t xml:space="preserve">Jours Depuis Debut Annee</w:t>
      </w:r>
      <w:r>
        <w:t xml:space="preserve"> </w:t>
      </w:r>
      <w:r>
        <w:t xml:space="preserve">et</w:t>
      </w:r>
      <w:r>
        <w:t xml:space="preserve"> </w:t>
      </w:r>
      <w:r>
        <w:rPr>
          <w:rStyle w:val="VerbatimChar"/>
        </w:rPr>
        <w:t xml:space="preserve">campaign_duration_days</w:t>
      </w:r>
      <w:r>
        <w:t xml:space="preserve"> </w:t>
      </w:r>
      <w:r>
        <w:t xml:space="preserve">(colonnes calculées, pas mesures) dans la zone Valeurs déclenche une étiquette</w:t>
      </w:r>
      <w:r>
        <w:t xml:space="preserve"> </w:t>
      </w:r>
      <w:r>
        <w:t xml:space="preserve">“</w:t>
      </w:r>
      <w:r>
        <w:t xml:space="preserve">Somme de…</w:t>
      </w:r>
      <w:r>
        <w:t xml:space="preserve">”</w:t>
      </w:r>
      <w:r>
        <w:t xml:space="preserve"> </w:t>
      </w:r>
      <w:r>
        <w:t xml:space="preserve">— comportement normal de Power BI sur les colonnes numériques, sans impact sur le résultat puisque le grain du visuel garantit une ligne par campagne. Résolu par</w:t>
      </w:r>
      <w:r>
        <w:t xml:space="preserve"> </w:t>
      </w:r>
      <w:r>
        <w:t xml:space="preserve">“</w:t>
      </w:r>
      <w:r>
        <w:t xml:space="preserve">Renommer pour ce visuel</w:t>
      </w:r>
      <w:r>
        <w:t xml:space="preserve">”</w:t>
      </w:r>
      <w:r>
        <w:t xml:space="preserve"> </w:t>
      </w:r>
      <w:r>
        <w:t xml:space="preserve">(</w:t>
      </w:r>
      <w:r>
        <w:rPr>
          <w:rStyle w:val="VerbatimChar"/>
        </w:rPr>
        <w:t xml:space="preserve">Début (jours)</w:t>
      </w:r>
      <w:r>
        <w:t xml:space="preserve"> </w:t>
      </w:r>
      <w:r>
        <w:t xml:space="preserve">et</w:t>
      </w:r>
      <w:r>
        <w:t xml:space="preserve"> </w:t>
      </w:r>
      <w:r>
        <w:rPr>
          <w:rStyle w:val="VerbatimChar"/>
        </w:rPr>
        <w:t xml:space="preserve">Durée (jours)</w:t>
      </w:r>
      <w:r>
        <w:t xml:space="preserve">), sans toucher au calcul (voir 9.9).</w:t>
      </w:r>
    </w:p>
    <w:p>
      <w:pPr>
        <w:numPr>
          <w:ilvl w:val="0"/>
          <w:numId w:val="1033"/>
        </w:numPr>
      </w:pPr>
      <w:r>
        <w:rPr>
          <w:bCs/>
          <w:b/>
        </w:rPr>
        <w:t xml:space="preserve">Étiquettes de données déconseillées sur ce visuel</w:t>
      </w:r>
      <w:r>
        <w:t xml:space="preserve"> </w:t>
      </w:r>
      <w:r>
        <w:t xml:space="preserve">: contrairement aux autres graphiques du dashboard, aucune étiquette de donnée n’est activée sur la Frise. Le segment invisible afficherait un chiffre flottant sans barre visible si une étiquette y était ajoutée ; le segment visible contient des durées trop courtes pour certaines campagnes (4 à 6 jours, ex. Mega Weekend Bonanza) pour accueillir un texte lisible. L’information est reportée en info-bulle :</w:t>
      </w:r>
      <w:r>
        <w:t xml:space="preserve"> </w:t>
      </w:r>
      <w:r>
        <w:rPr>
          <w:rStyle w:val="VerbatimChar"/>
        </w:rPr>
        <w:t xml:space="preserve">Date Début Campagne</w:t>
      </w:r>
      <w:r>
        <w:t xml:space="preserve">,</w:t>
      </w:r>
      <w:r>
        <w:t xml:space="preserve"> </w:t>
      </w:r>
      <w:r>
        <w:rPr>
          <w:rStyle w:val="VerbatimChar"/>
        </w:rPr>
        <w:t xml:space="preserve">campaign_duration_days</w:t>
      </w:r>
      <w:r>
        <w:t xml:space="preserve">,</w:t>
      </w:r>
      <w:r>
        <w:t xml:space="preserve"> </w:t>
      </w:r>
      <w:r>
        <w:rPr>
          <w:rStyle w:val="VerbatimChar"/>
        </w:rPr>
        <w:t xml:space="preserve">ROI Campagne</w:t>
      </w:r>
      <w:r>
        <w:t xml:space="preserve">,</w:t>
      </w:r>
      <w:r>
        <w:t xml:space="preserve"> </w:t>
      </w:r>
      <w:r>
        <w:rPr>
          <w:rStyle w:val="VerbatimChar"/>
        </w:rPr>
        <w:t xml:space="preserve">campaign_budget</w:t>
      </w:r>
      <w:r>
        <w:t xml:space="preserve">.</w:t>
      </w:r>
    </w:p>
    <w:p>
      <w:pPr>
        <w:numPr>
          <w:ilvl w:val="0"/>
          <w:numId w:val="1033"/>
        </w:numPr>
      </w:pPr>
      <w:r>
        <w:rPr>
          <w:bCs/>
          <w:b/>
        </w:rPr>
        <w:t xml:space="preserve">Absence de filtre Top N</w:t>
      </w:r>
      <w:r>
        <w:t xml:space="preserve"> </w:t>
      </w:r>
      <w:r>
        <w:t xml:space="preserve">: contrairement au Top 10 Campagnes par Multiple de Retour (Page 4), la Frise affiche l’intégralité des 50 campagnes — c’est un outil de calendrier de programmation, pas un classement, un filtrage réduirait son utilité.</w:t>
      </w:r>
    </w:p>
    <w:p>
      <w:pPr>
        <w:numPr>
          <w:ilvl w:val="0"/>
          <w:numId w:val="1033"/>
        </w:numPr>
      </w:pPr>
      <w:r>
        <w:rPr>
          <w:bCs/>
          <w:b/>
        </w:rPr>
        <w:t xml:space="preserve">Note visuelle ajoutée</w:t>
      </w:r>
      <w:r>
        <w:t xml:space="preserve"> </w:t>
      </w:r>
      <w:r>
        <w:t xml:space="preserve">: une zone de texte au-dessus du visuel rappelle explicitement que la Frise n’est pas affectée par le slicer Période (cf. 4.1) — le point en attente de la section 8 (version précédente) est désormais résolu.</w:t>
      </w:r>
    </w:p>
    <w:bookmarkEnd w:id="79"/>
    <w:bookmarkStart w:id="80" w:name="signet-focus_churnrisk-état-davancement"/>
    <w:p>
      <w:pPr>
        <w:pStyle w:val="Heading2"/>
      </w:pPr>
      <w:r>
        <w:t xml:space="preserve">11.5 Signet Focus_ChurnRisk — état d’avancement</w:t>
      </w:r>
    </w:p>
    <w:p>
      <w:pPr>
        <w:pStyle w:val="FirstParagraph"/>
      </w:pPr>
      <w:r>
        <w:t xml:space="preserve">Un signet devait relier le bouton</w:t>
      </w:r>
      <w:r>
        <w:t xml:space="preserve"> </w:t>
      </w:r>
      <w:r>
        <w:t xml:space="preserve">“</w:t>
      </w:r>
      <w:r>
        <w:t xml:space="preserve">Voir le détail →</w:t>
      </w:r>
      <w:r>
        <w:t xml:space="preserve">”</w:t>
      </w:r>
      <w:r>
        <w:t xml:space="preserve"> </w:t>
      </w:r>
      <w:r>
        <w:t xml:space="preserve">de la Page 1 (zone</w:t>
      </w:r>
      <w:r>
        <w:t xml:space="preserve"> </w:t>
      </w:r>
      <w:r>
        <w:t xml:space="preserve">“</w:t>
      </w:r>
      <w:r>
        <w:t xml:space="preserve">Segment à Surveiller</w:t>
      </w:r>
      <w:r>
        <w:t xml:space="preserve">”</w:t>
      </w:r>
      <w:r>
        <w:t xml:space="preserve">) à la Page 3, filtrée sur le segment Churn Risk, avec un second signet de réinitialisation sur la Page 3.</w:t>
      </w:r>
    </w:p>
    <w:p>
      <w:pPr>
        <w:pStyle w:val="BodyText"/>
      </w:pPr>
      <w:r>
        <w:rPr>
          <w:bCs/>
          <w:b/>
        </w:rPr>
        <w:t xml:space="preserve">Méthode définie</w:t>
      </w:r>
      <w:r>
        <w:t xml:space="preserve"> </w:t>
      </w:r>
      <w:r>
        <w:t xml:space="preserve">(à reprendre) :</w:t>
      </w:r>
    </w:p>
    <w:p>
      <w:pPr>
        <w:numPr>
          <w:ilvl w:val="0"/>
          <w:numId w:val="1034"/>
        </w:numPr>
        <w:pStyle w:val="Compact"/>
      </w:pPr>
      <w:r>
        <w:t xml:space="preserve">Filtrer la Page 3 sur</w:t>
      </w:r>
      <w:r>
        <w:t xml:space="preserve"> </w:t>
      </w:r>
      <w:r>
        <w:rPr>
          <w:rStyle w:val="VerbatimChar"/>
        </w:rPr>
        <w:t xml:space="preserve">customer_segment = Churn Risk</w:t>
      </w:r>
      <w:r>
        <w:t xml:space="preserve">.</w:t>
      </w:r>
    </w:p>
    <w:p>
      <w:pPr>
        <w:numPr>
          <w:ilvl w:val="0"/>
          <w:numId w:val="1034"/>
        </w:numPr>
        <w:pStyle w:val="Compact"/>
      </w:pPr>
      <w:r>
        <w:t xml:space="preserve">Créer un signet</w:t>
      </w:r>
      <w:r>
        <w:t xml:space="preserve"> </w:t>
      </w:r>
      <w:r>
        <w:rPr>
          <w:rStyle w:val="VerbatimChar"/>
        </w:rPr>
        <w:t xml:space="preserve">Focus_ChurnRisk</w:t>
      </w:r>
      <w:r>
        <w:t xml:space="preserve"> </w:t>
      </w:r>
      <w:r>
        <w:t xml:space="preserve">via Affichage &gt; Signets &gt; Ajouter, en ne cochant que l’option Données (jamais Vue actuelle ni Toutes les visualisations) pour que seul le filtre soit capturé, pas la mise en page.</w:t>
      </w:r>
    </w:p>
    <w:p>
      <w:pPr>
        <w:numPr>
          <w:ilvl w:val="0"/>
          <w:numId w:val="1034"/>
        </w:numPr>
        <w:pStyle w:val="Compact"/>
      </w:pPr>
      <w:r>
        <w:t xml:space="preserve">Sur la Page 1, créer un bouton/forme avec le texte</w:t>
      </w:r>
      <w:r>
        <w:t xml:space="preserve"> </w:t>
      </w:r>
      <w:r>
        <w:t xml:space="preserve">“</w:t>
      </w:r>
      <w:r>
        <w:t xml:space="preserve">Voir le détail →</w:t>
      </w:r>
      <w:r>
        <w:t xml:space="preserve">”</w:t>
      </w:r>
      <w:r>
        <w:t xml:space="preserve">, assigné en Action de type Signet vers</w:t>
      </w:r>
      <w:r>
        <w:t xml:space="preserve"> </w:t>
      </w:r>
      <w:r>
        <w:rPr>
          <w:rStyle w:val="VerbatimChar"/>
        </w:rPr>
        <w:t xml:space="preserve">Focus_ChurnRisk</w:t>
      </w:r>
      <w:r>
        <w:t xml:space="preserve">.</w:t>
      </w:r>
    </w:p>
    <w:p>
      <w:pPr>
        <w:numPr>
          <w:ilvl w:val="0"/>
          <w:numId w:val="1034"/>
        </w:numPr>
        <w:pStyle w:val="Compact"/>
      </w:pPr>
      <w:r>
        <w:t xml:space="preserve">Sur la Page 3, créer un second signet</w:t>
      </w:r>
      <w:r>
        <w:t xml:space="preserve"> </w:t>
      </w:r>
      <w:r>
        <w:rPr>
          <w:rStyle w:val="VerbatimChar"/>
        </w:rPr>
        <w:t xml:space="preserve">Reset_Segment</w:t>
      </w:r>
      <w:r>
        <w:t xml:space="preserve"> </w:t>
      </w:r>
      <w:r>
        <w:t xml:space="preserve">(filtre retiré), assigné à un bouton</w:t>
      </w:r>
      <w:r>
        <w:t xml:space="preserve"> </w:t>
      </w:r>
      <w:r>
        <w:t xml:space="preserve">“</w:t>
      </w:r>
      <w:r>
        <w:t xml:space="preserve">Réinitialiser</w:t>
      </w:r>
      <w:r>
        <w:t xml:space="preserve">”</w:t>
      </w:r>
      <w:r>
        <w:t xml:space="preserve"> </w:t>
      </w:r>
      <w:r>
        <w:t xml:space="preserve">— indispensable pour éviter qu’un utilisateur revenant sur la Page 3 via la navigation normale trouve le filtre Churn Risk resté actif.</w:t>
      </w:r>
    </w:p>
    <w:p>
      <w:pPr>
        <w:pStyle w:val="FirstParagraph"/>
      </w:pPr>
      <w:r>
        <w:rPr>
          <w:bCs/>
          <w:b/>
        </w:rPr>
        <w:t xml:space="preserve">Statut à la date de cette version</w:t>
      </w:r>
      <w:r>
        <w:t xml:space="preserve"> </w:t>
      </w:r>
      <w:r>
        <w:t xml:space="preserve">: configuration en cours, mise en pause après des difficultés rencontrées sur la gestion des options du signet (case Données, comportement de l’action). Point en attente à reprendre — voir section 8.</w:t>
      </w:r>
    </w:p>
    <w:bookmarkEnd w:id="80"/>
    <w:bookmarkStart w:id="81" w:name="Xbcec2b18b9b2a17b978cbf01480a6b624997f27"/>
    <w:p>
      <w:pPr>
        <w:pStyle w:val="Heading2"/>
      </w:pPr>
      <w:r>
        <w:t xml:space="preserve">11.6 Découverte — l’écart de CA par rôle commercial est un effet d’effectif, pas de performance</w:t>
      </w:r>
    </w:p>
    <w:p>
      <w:pPr>
        <w:pStyle w:val="FirstParagraph"/>
      </w:pPr>
      <w:r>
        <w:t xml:space="preserve">La section 6 de l’audit d’origine identifiait l’écart de CA par rôle commercial (~14%) comme l’une des deux seules sources de variance réelle du dataset, à côté du ROI par campagne. La construction du donut Effectif par Rôle (Page 5), pensée précisément pour trancher cette question, a permis d’aller plus loin.</w:t>
      </w:r>
    </w:p>
    <w:p>
      <w:pPr>
        <w:pStyle w:val="BodyText"/>
      </w:pPr>
      <w:r>
        <w:rPr>
          <w:bCs/>
          <w:b/>
        </w:rPr>
        <w:t xml:space="preserve">Données observées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CA Total</w:t>
            </w:r>
          </w:p>
        </w:tc>
        <w:tc>
          <w:tcPr/>
          <w:p>
            <w:pPr>
              <w:pStyle w:val="Compact"/>
              <w:jc w:val="left"/>
            </w:pPr>
            <w:r>
              <w:t xml:space="preserve">Effectif (Nb Commerciaux Actifs)</w:t>
            </w:r>
          </w:p>
        </w:tc>
      </w:tr>
      <w:tr>
        <w:tc>
          <w:tcPr/>
          <w:p>
            <w:pPr>
              <w:pStyle w:val="Compact"/>
              <w:jc w:val="left"/>
            </w:pPr>
            <w:r>
              <w:t xml:space="preserve">Sales Associate</w:t>
            </w:r>
          </w:p>
        </w:tc>
        <w:tc>
          <w:tcPr/>
          <w:p>
            <w:pPr>
              <w:pStyle w:val="Compact"/>
              <w:jc w:val="left"/>
            </w:pPr>
            <w:r>
              <w:t xml:space="preserve">724 922 510 $</w:t>
            </w:r>
          </w:p>
        </w:tc>
        <w:tc>
          <w:tcPr/>
          <w:p>
            <w:pPr>
              <w:pStyle w:val="Compact"/>
              <w:jc w:val="left"/>
            </w:pPr>
            <w:r>
              <w:t xml:space="preserve">528</w:t>
            </w:r>
          </w:p>
        </w:tc>
      </w:tr>
      <w:tr>
        <w:tc>
          <w:tcPr/>
          <w:p>
            <w:pPr>
              <w:pStyle w:val="Compact"/>
              <w:jc w:val="left"/>
            </w:pPr>
            <w:r>
              <w:t xml:space="preserve">Salesperson</w:t>
            </w:r>
          </w:p>
        </w:tc>
        <w:tc>
          <w:tcPr/>
          <w:p>
            <w:pPr>
              <w:pStyle w:val="Compact"/>
              <w:jc w:val="left"/>
            </w:pPr>
            <w:r>
              <w:t xml:space="preserve">713 588 676 $</w:t>
            </w:r>
          </w:p>
        </w:tc>
        <w:tc>
          <w:tcPr/>
          <w:p>
            <w:pPr>
              <w:pStyle w:val="Compact"/>
              <w:jc w:val="left"/>
            </w:pPr>
            <w:r>
              <w:t xml:space="preserve">518</w:t>
            </w:r>
          </w:p>
        </w:tc>
      </w:tr>
      <w:tr>
        <w:tc>
          <w:tcPr/>
          <w:p>
            <w:pPr>
              <w:pStyle w:val="Compact"/>
              <w:jc w:val="left"/>
            </w:pPr>
            <w:r>
              <w:t xml:space="preserve">Manager</w:t>
            </w:r>
          </w:p>
        </w:tc>
        <w:tc>
          <w:tcPr/>
          <w:p>
            <w:pPr>
              <w:pStyle w:val="Compact"/>
              <w:jc w:val="left"/>
            </w:pPr>
            <w:r>
              <w:t xml:space="preserve">688 819 492 $</w:t>
            </w:r>
          </w:p>
        </w:tc>
        <w:tc>
          <w:tcPr/>
          <w:p>
            <w:pPr>
              <w:pStyle w:val="Compact"/>
              <w:jc w:val="left"/>
            </w:pPr>
            <w:r>
              <w:t xml:space="preserve">500</w:t>
            </w:r>
          </w:p>
        </w:tc>
      </w:tr>
      <w:tr>
        <w:tc>
          <w:tcPr/>
          <w:p>
            <w:pPr>
              <w:pStyle w:val="Compact"/>
              <w:jc w:val="left"/>
            </w:pPr>
            <w:r>
              <w:t xml:space="preserve">Senior Salesperson</w:t>
            </w:r>
          </w:p>
        </w:tc>
        <w:tc>
          <w:tcPr/>
          <w:p>
            <w:pPr>
              <w:pStyle w:val="Compact"/>
              <w:jc w:val="left"/>
            </w:pPr>
            <w:r>
              <w:t xml:space="preserve">623 543 915 $</w:t>
            </w:r>
          </w:p>
        </w:tc>
        <w:tc>
          <w:tcPr/>
          <w:p>
            <w:pPr>
              <w:pStyle w:val="Compact"/>
              <w:jc w:val="left"/>
            </w:pPr>
            <w:r>
              <w:t xml:space="preserve">454</w:t>
            </w:r>
          </w:p>
        </w:tc>
      </w:tr>
    </w:tbl>
    <w:p>
      <w:pPr>
        <w:pStyle w:val="BodyText"/>
      </w:pPr>
      <w:r>
        <w:t xml:space="preserve">Écart CA (max/min) : ≈16,3%. Écart effectif (max/min) : ≈16,3%. Le classement des 4 rôles est strictement identique sur les deux colonnes (Sales Associate &gt; Salesperson &gt; Manager &gt; Senior Salesperson).</w:t>
      </w:r>
    </w:p>
    <w:p>
      <w:pPr>
        <w:pStyle w:val="BodyText"/>
      </w:pPr>
      <w:r>
        <w:rPr>
          <w:bCs/>
          <w:b/>
        </w:rPr>
        <w:t xml:space="preserve">Conclusion établie par recoupement (même méthode que le reste de l’audit) : l’écart de CA entre rôles n’est pas une différence de performance individuelle, c’est un pur effet de volume d’effectif.</w:t>
      </w:r>
      <w:r>
        <w:t xml:space="preserve"> </w:t>
      </w:r>
      <w:r>
        <w:t xml:space="preserve">Plus un rôle compte de commerciaux, plus son CA cumulé est élevé, proportionnellement. Une mesure complémentaire permet de le vérifier directement :</w:t>
      </w:r>
    </w:p>
    <w:p>
      <w:pPr>
        <w:pStyle w:val="SourceCode"/>
      </w:pPr>
      <w:r>
        <w:rPr>
          <w:rStyle w:val="VerbatimChar"/>
        </w:rPr>
        <w:t xml:space="preserve">CA Moyen par Role = DIVIDE([CA Total], [Nombre de Commerciaux Actifs], BLANK())</w:t>
      </w:r>
    </w:p>
    <w:p>
      <w:pPr>
        <w:pStyle w:val="FirstParagraph"/>
      </w:pPr>
      <w:r>
        <w:t xml:space="preserve">Cette mesure doit produire des valeurs très proches entre les 4 rôles — cohérent avec le motif d’uniformité déjà documenté partout ailleurs sur ce dataset (section 6). Le storytelling comité de direction (section 10) doit être mis à jour en ce sens : il n’existe en réalité qu’</w:t>
      </w:r>
      <w:r>
        <w:rPr>
          <w:bCs/>
          <w:b/>
        </w:rPr>
        <w:t xml:space="preserve">une seule vraie source de variance actionnable sur ce dataset : le ROI par campagne marketing.</w:t>
      </w:r>
    </w:p>
    <w:bookmarkEnd w:id="81"/>
    <w:bookmarkStart w:id="82" w:name="conventions-retenues-pour-le-dashboard"/>
    <w:p>
      <w:pPr>
        <w:pStyle w:val="Heading2"/>
      </w:pPr>
      <w:r>
        <w:t xml:space="preserve">11.7 Conventions retenues pour le dashboard</w:t>
      </w:r>
    </w:p>
    <w:p>
      <w:pPr>
        <w:numPr>
          <w:ilvl w:val="0"/>
          <w:numId w:val="1035"/>
        </w:numPr>
      </w:pPr>
      <w:r>
        <w:rPr>
          <w:bCs/>
          <w:b/>
        </w:rPr>
        <w:t xml:space="preserve">Format monétaire</w:t>
      </w:r>
      <w:r>
        <w:t xml:space="preserve"> </w:t>
      </w:r>
      <w:r>
        <w:t xml:space="preserve">: dollar,</w:t>
      </w:r>
      <w:r>
        <w:t xml:space="preserve"> </w:t>
      </w:r>
      <w:r>
        <w:rPr>
          <w:rStyle w:val="VerbatimChar"/>
        </w:rPr>
        <w:t xml:space="preserve">$# ##0</w:t>
      </w:r>
      <w:r>
        <w:t xml:space="preserve">, zéro décimale, séparateur de milliers — appliqué uniformément à toutes les mesures monétaires du rapport (CA Total, CA YTD, Budget Total Engagé, Panier Moyen, etc.), à l’exception de</w:t>
      </w:r>
      <w:r>
        <w:t xml:space="preserve"> </w:t>
      </w:r>
      <w:r>
        <w:rPr>
          <w:rStyle w:val="VerbatimChar"/>
        </w:rPr>
        <w:t xml:space="preserve">Multiple de Retour</w:t>
      </w:r>
      <w:r>
        <w:t xml:space="preserve"> </w:t>
      </w:r>
      <w:r>
        <w:t xml:space="preserve">qui garde son format personnalisé</w:t>
      </w:r>
      <w:r>
        <w:t xml:space="preserve"> </w:t>
      </w:r>
      <w:r>
        <w:rPr>
          <w:rStyle w:val="VerbatimChar"/>
        </w:rPr>
        <w:t xml:space="preserve">0"x"</w:t>
      </w:r>
      <w:r>
        <w:t xml:space="preserve">.</w:t>
      </w:r>
    </w:p>
    <w:p>
      <w:pPr>
        <w:numPr>
          <w:ilvl w:val="0"/>
          <w:numId w:val="1035"/>
        </w:numPr>
      </w:pPr>
      <w:r>
        <w:rPr>
          <w:bCs/>
          <w:b/>
        </w:rPr>
        <w:t xml:space="preserve">Colonne</w:t>
      </w:r>
      <w:r>
        <w:rPr>
          <w:bCs/>
          <w:b/>
        </w:rPr>
        <w:t xml:space="preserve"> </w:t>
      </w:r>
      <w:r>
        <w:rPr>
          <w:rStyle w:val="VerbatimChar"/>
          <w:bCs/>
          <w:b/>
        </w:rPr>
        <w:t xml:space="preserve">Mois Complet</w:t>
      </w:r>
      <w:r>
        <w:t xml:space="preserve"> </w:t>
      </w:r>
      <w:r>
        <w:t xml:space="preserve">(Power Query,</w:t>
      </w:r>
      <w:r>
        <w:t xml:space="preserve"> </w:t>
      </w:r>
      <w:r>
        <w:rPr>
          <w:rStyle w:val="VerbatimChar"/>
        </w:rPr>
        <w:t xml:space="preserve">dim_dates</w:t>
      </w:r>
      <w:r>
        <w:t xml:space="preserve">) : ajoutée pour alimenter l’info-bulle</w:t>
      </w:r>
      <w:r>
        <w:t xml:space="preserve"> </w:t>
      </w:r>
      <w:r>
        <w:t xml:space="preserve">“</w:t>
      </w:r>
      <w:r>
        <w:t xml:space="preserve">mois partiel</w:t>
      </w:r>
      <w:r>
        <w:t xml:space="preserve">”</w:t>
      </w:r>
      <w:r>
        <w:t xml:space="preserve"> </w:t>
      </w:r>
      <w:r>
        <w:t xml:space="preserve">de la courbe CA mensuel (Page 1). Texte</w:t>
      </w:r>
      <w:r>
        <w:t xml:space="preserve"> </w:t>
      </w:r>
      <w:r>
        <w:rPr>
          <w:rStyle w:val="VerbatimChar"/>
        </w:rPr>
        <w:t xml:space="preserve">"Mois partiel"</w:t>
      </w:r>
      <w:r>
        <w:t xml:space="preserve"> </w:t>
      </w:r>
      <w:r>
        <w:t xml:space="preserve">pour janvier, février, décembre (cohérent avec la liste déjà utilisée dans la mesure Croissance MoM %, section 2.6),</w:t>
      </w:r>
      <w:r>
        <w:t xml:space="preserve"> </w:t>
      </w:r>
      <w:r>
        <w:rPr>
          <w:rStyle w:val="VerbatimChar"/>
        </w:rPr>
        <w:t xml:space="preserve">"Mois complet"</w:t>
      </w:r>
      <w:r>
        <w:t xml:space="preserve"> </w:t>
      </w:r>
      <w:r>
        <w:t xml:space="preserve">sinon.</w:t>
      </w:r>
    </w:p>
    <w:p>
      <w:pPr>
        <w:numPr>
          <w:ilvl w:val="0"/>
          <w:numId w:val="1035"/>
        </w:numPr>
      </w:pPr>
      <w:r>
        <w:rPr>
          <w:bCs/>
          <w:b/>
        </w:rPr>
        <w:t xml:space="preserve">Titres de visuels</w:t>
      </w:r>
      <w:r>
        <w:t xml:space="preserve"> </w:t>
      </w:r>
      <w:r>
        <w:t xml:space="preserve">: toujours nommés par ce qu’ils montrent, jamais par le nom technique du champ ou de la mesure (ex.</w:t>
      </w:r>
      <w:r>
        <w:t xml:space="preserve"> </w:t>
      </w:r>
      <w:r>
        <w:t xml:space="preserve">“</w:t>
      </w:r>
      <w:r>
        <w:t xml:space="preserve">Répartition du CA par type de magasin</w:t>
      </w:r>
      <w:r>
        <w:t xml:space="preserve">”</w:t>
      </w:r>
      <w:r>
        <w:t xml:space="preserve">, jamais</w:t>
      </w:r>
      <w:r>
        <w:t xml:space="preserve"> </w:t>
      </w:r>
      <w:r>
        <w:t xml:space="preserve">“</w:t>
      </w:r>
      <w:r>
        <w:t xml:space="preserve">Donut store_type</w:t>
      </w:r>
      <w:r>
        <w:t xml:space="preserve">”</w:t>
      </w:r>
      <w:r>
        <w:t xml:space="preserve">). Casse : majuscule uniquement en première lettre.</w:t>
      </w:r>
    </w:p>
    <w:p>
      <w:pPr>
        <w:numPr>
          <w:ilvl w:val="0"/>
          <w:numId w:val="1035"/>
        </w:numPr>
      </w:pPr>
      <w:r>
        <w:rPr>
          <w:bCs/>
          <w:b/>
        </w:rPr>
        <w:t xml:space="preserve">Noms de colonnes courts</w:t>
      </w:r>
      <w:r>
        <w:t xml:space="preserve"> </w:t>
      </w:r>
      <w:r>
        <w:t xml:space="preserve">(tables Page 3) :</w:t>
      </w:r>
      <w:r>
        <w:t xml:space="preserve"> </w:t>
      </w:r>
      <w:r>
        <w:rPr>
          <w:rStyle w:val="VerbatimChar"/>
        </w:rPr>
        <w:t xml:space="preserve">Segment</w:t>
      </w:r>
      <w:r>
        <w:t xml:space="preserve">,</w:t>
      </w:r>
      <w:r>
        <w:t xml:space="preserve"> </w:t>
      </w:r>
      <w:r>
        <w:rPr>
          <w:rStyle w:val="VerbatimChar"/>
        </w:rPr>
        <w:t xml:space="preserve">Clients</w:t>
      </w:r>
      <w:r>
        <w:t xml:space="preserve">,</w:t>
      </w:r>
      <w:r>
        <w:t xml:space="preserve"> </w:t>
      </w:r>
      <w:r>
        <w:rPr>
          <w:rStyle w:val="VerbatimChar"/>
        </w:rPr>
        <w:t xml:space="preserve">CA</w:t>
      </w:r>
      <w:r>
        <w:t xml:space="preserve">,</w:t>
      </w:r>
      <w:r>
        <w:t xml:space="preserve"> </w:t>
      </w:r>
      <w:r>
        <w:rPr>
          <w:rStyle w:val="VerbatimChar"/>
        </w:rPr>
        <w:t xml:space="preserve">Panier moyen</w:t>
      </w:r>
      <w:r>
        <w:t xml:space="preserve"> </w:t>
      </w:r>
      <w:r>
        <w:t xml:space="preserve">(table détail) ;</w:t>
      </w:r>
      <w:r>
        <w:t xml:space="preserve"> </w:t>
      </w:r>
      <w:r>
        <w:rPr>
          <w:rStyle w:val="VerbatimChar"/>
        </w:rPr>
        <w:t xml:space="preserve">Segment</w:t>
      </w:r>
      <w:r>
        <w:t xml:space="preserve">,</w:t>
      </w:r>
      <w:r>
        <w:t xml:space="preserve"> </w:t>
      </w:r>
      <w:r>
        <w:rPr>
          <w:rStyle w:val="VerbatimChar"/>
        </w:rPr>
        <w:t xml:space="preserve">Fréq. moyenne</w:t>
      </w:r>
      <w:r>
        <w:t xml:space="preserve">,</w:t>
      </w:r>
      <w:r>
        <w:t xml:space="preserve"> </w:t>
      </w:r>
      <w:r>
        <w:rPr>
          <w:rStyle w:val="VerbatimChar"/>
        </w:rPr>
        <w:t xml:space="preserve">Dern. achat</w:t>
      </w:r>
      <w:r>
        <w:t xml:space="preserve">,</w:t>
      </w:r>
      <w:r>
        <w:t xml:space="preserve"> </w:t>
      </w:r>
      <w:r>
        <w:rPr>
          <w:rStyle w:val="VerbatimChar"/>
        </w:rPr>
        <w:t xml:space="preserve">Récence (j)</w:t>
      </w:r>
      <w:r>
        <w:t xml:space="preserve"> </w:t>
      </w:r>
      <w:r>
        <w:t xml:space="preserve">(table RFM) — appliqués via</w:t>
      </w:r>
      <w:r>
        <w:t xml:space="preserve"> </w:t>
      </w:r>
      <w:r>
        <w:t xml:space="preserve">“</w:t>
      </w:r>
      <w:r>
        <w:t xml:space="preserve">Renommer pour ce visuel</w:t>
      </w:r>
      <w:r>
        <w:t xml:space="preserve">”</w:t>
      </w:r>
      <w:r>
        <w:t xml:space="preserve">, sans modifier les noms réels des champs dans le modèle.</w:t>
      </w:r>
    </w:p>
    <w:p>
      <w:pPr>
        <w:numPr>
          <w:ilvl w:val="0"/>
          <w:numId w:val="1035"/>
        </w:numPr>
      </w:pPr>
      <w:r>
        <w:rPr>
          <w:bCs/>
          <w:b/>
        </w:rPr>
        <w:t xml:space="preserve">Slicers</w:t>
      </w:r>
      <w:r>
        <w:t xml:space="preserve"> </w:t>
      </w:r>
      <w:r>
        <w:t xml:space="preserve">: orientation horizontale, style Liste déroulante (plus compact qu’une orientation verticale ou un affichage en tuiles), aucune sélection par défaut.</w:t>
      </w:r>
    </w:p>
    <w:bookmarkEnd w:id="82"/>
    <w:bookmarkStart w:id="83" w:name="Xdbe2c0d243655e1bc7899f08abce987e279e57c"/>
    <w:p>
      <w:pPr>
        <w:pStyle w:val="Heading2"/>
      </w:pPr>
      <w:r>
        <w:t xml:space="preserve">11.8 Interactions entre visuels définies (par page)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Page</w:t>
            </w:r>
          </w:p>
        </w:tc>
        <w:tc>
          <w:tcPr/>
          <w:p>
            <w:pPr>
              <w:pStyle w:val="Compact"/>
              <w:jc w:val="left"/>
            </w:pPr>
            <w:r>
              <w:t xml:space="preserve">Interaction</w:t>
            </w:r>
          </w:p>
        </w:tc>
        <w:tc>
          <w:tcPr/>
          <w:p>
            <w:pPr>
              <w:pStyle w:val="Compact"/>
              <w:jc w:val="left"/>
            </w:pPr>
            <w:r>
              <w:t xml:space="preserve">Réglage retenu</w:t>
            </w:r>
          </w:p>
        </w:tc>
        <w:tc>
          <w:tcPr/>
          <w:p>
            <w:pPr>
              <w:pStyle w:val="Compact"/>
              <w:jc w:val="left"/>
            </w:pPr>
            <w:r>
              <w:t xml:space="preserve">Raison</w:t>
            </w:r>
          </w:p>
        </w:tc>
      </w:tr>
      <w:tr>
        <w:tc>
          <w:tcPr/>
          <w:p>
            <w:pPr>
              <w:pStyle w:val="Compact"/>
              <w:jc w:val="left"/>
            </w:pPr>
            <w:r>
              <w:t xml:space="preserve">1</w:t>
            </w:r>
          </w:p>
        </w:tc>
        <w:tc>
          <w:tcPr/>
          <w:p>
            <w:pPr>
              <w:pStyle w:val="Compact"/>
              <w:jc w:val="left"/>
            </w:pPr>
            <w:r>
              <w:t xml:space="preserve">Courbe CA mensuel &lt;-&gt; Donut type de magasin</w:t>
            </w:r>
          </w:p>
        </w:tc>
        <w:tc>
          <w:tcPr/>
          <w:p>
            <w:pPr>
              <w:pStyle w:val="Compact"/>
              <w:jc w:val="left"/>
            </w:pPr>
            <w:r>
              <w:t xml:space="preserve">Filtrage actif dans les deux sens</w:t>
            </w:r>
          </w:p>
        </w:tc>
        <w:tc>
          <w:tcPr/>
          <w:p>
            <w:pPr>
              <w:pStyle w:val="Compact"/>
              <w:jc w:val="left"/>
            </w:pPr>
            <w:r>
              <w:t xml:space="preserve">Les deux lectures croisées sont utiles</w:t>
            </w:r>
          </w:p>
        </w:tc>
      </w:tr>
      <w:tr>
        <w:tc>
          <w:tcPr/>
          <w:p>
            <w:pPr>
              <w:pStyle w:val="Compact"/>
              <w:jc w:val="left"/>
            </w:pPr>
            <w:r>
              <w:t xml:space="preserve">2</w:t>
            </w:r>
          </w:p>
        </w:tc>
        <w:tc>
          <w:tcPr/>
          <w:p>
            <w:pPr>
              <w:pStyle w:val="Compact"/>
              <w:jc w:val="left"/>
            </w:pPr>
            <w:r>
              <w:t xml:space="preserve">Top 10 Produits -&gt; Carte géo, Top 10 Produits -&gt; Évolution Top 5</w:t>
            </w:r>
          </w:p>
        </w:tc>
        <w:tc>
          <w:tcPr/>
          <w:p>
            <w:pPr>
              <w:pStyle w:val="Compact"/>
              <w:jc w:val="left"/>
            </w:pPr>
            <w:r>
              <w:t xml:space="preserve">Coupée (Aucun)</w:t>
            </w:r>
          </w:p>
        </w:tc>
        <w:tc>
          <w:tcPr/>
          <w:p>
            <w:pPr>
              <w:pStyle w:val="Compact"/>
              <w:jc w:val="left"/>
            </w:pPr>
            <w:r>
              <w:t xml:space="preserve">Filtre sans effet visible ou qui casse la vue de référence stable</w:t>
            </w:r>
          </w:p>
        </w:tc>
      </w:tr>
      <w:tr>
        <w:tc>
          <w:tcPr/>
          <w:p>
            <w:pPr>
              <w:pStyle w:val="Compact"/>
              <w:jc w:val="left"/>
            </w:pPr>
            <w:r>
              <w:t xml:space="preserve">3</w:t>
            </w:r>
          </w:p>
        </w:tc>
        <w:tc>
          <w:tcPr/>
          <w:p>
            <w:pPr>
              <w:pStyle w:val="Compact"/>
              <w:jc w:val="left"/>
            </w:pPr>
            <w:r>
              <w:t xml:space="preserve">CA par Segment -&gt; Table détail, Carte géo clients, Table RFM</w:t>
            </w:r>
          </w:p>
        </w:tc>
        <w:tc>
          <w:tcPr/>
          <w:p>
            <w:pPr>
              <w:pStyle w:val="Compact"/>
              <w:jc w:val="left"/>
            </w:pPr>
            <w:r>
              <w:t xml:space="preserve">Filtrage actif partout</w:t>
            </w:r>
          </w:p>
        </w:tc>
        <w:tc>
          <w:tcPr/>
          <w:p>
            <w:pPr>
              <w:pStyle w:val="Compact"/>
              <w:jc w:val="left"/>
            </w:pPr>
            <w:r>
              <w:t xml:space="preserve">Page d’investigation, la convergence des visuels sert la preuve</w:t>
            </w:r>
          </w:p>
        </w:tc>
      </w:tr>
      <w:tr>
        <w:tc>
          <w:tcPr/>
          <w:p>
            <w:pPr>
              <w:pStyle w:val="Compact"/>
              <w:jc w:val="left"/>
            </w:pPr>
            <w:r>
              <w:t xml:space="preserve">4</w:t>
            </w:r>
          </w:p>
        </w:tc>
        <w:tc>
          <w:tcPr/>
          <w:p>
            <w:pPr>
              <w:pStyle w:val="Compact"/>
              <w:jc w:val="left"/>
            </w:pPr>
            <w:r>
              <w:t xml:space="preserve">Top 10 Campagnes &lt;-&gt; Frise des campagnes</w:t>
            </w:r>
          </w:p>
        </w:tc>
        <w:tc>
          <w:tcPr/>
          <w:p>
            <w:pPr>
              <w:pStyle w:val="Compact"/>
              <w:jc w:val="left"/>
            </w:pPr>
            <w:r>
              <w:t xml:space="preserve">Surbrillance (comportement par défaut)</w:t>
            </w:r>
          </w:p>
        </w:tc>
        <w:tc>
          <w:tcPr/>
          <w:p>
            <w:pPr>
              <w:pStyle w:val="Compact"/>
              <w:jc w:val="left"/>
            </w:pPr>
            <w:r>
              <w:t xml:space="preserve">Un filtre plein réduirait la Frise à une seule barre et casserait la lecture Gantt</w:t>
            </w:r>
          </w:p>
        </w:tc>
      </w:tr>
      <w:tr>
        <w:tc>
          <w:tcPr/>
          <w:p>
            <w:pPr>
              <w:pStyle w:val="Compact"/>
              <w:jc w:val="left"/>
            </w:pPr>
            <w:r>
              <w:t xml:space="preserve">5</w:t>
            </w:r>
          </w:p>
        </w:tc>
        <w:tc>
          <w:tcPr/>
          <w:p>
            <w:pPr>
              <w:pStyle w:val="Compact"/>
              <w:jc w:val="left"/>
            </w:pPr>
            <w:r>
              <w:t xml:space="preserve">Top 10 Commerciaux -&gt; Donuts CA/Effectif par rôle</w:t>
            </w:r>
          </w:p>
        </w:tc>
        <w:tc>
          <w:tcPr/>
          <w:p>
            <w:pPr>
              <w:pStyle w:val="Compact"/>
              <w:jc w:val="left"/>
            </w:pPr>
            <w:r>
              <w:t xml:space="preserve">Coupée (Aucun)</w:t>
            </w:r>
          </w:p>
        </w:tc>
        <w:tc>
          <w:tcPr/>
          <w:p>
            <w:pPr>
              <w:pStyle w:val="Compact"/>
              <w:jc w:val="left"/>
            </w:pPr>
            <w:r>
              <w:t xml:space="preserve">Un commercial cliqué écraserait les donuts à un seul rôle, sans utilité</w:t>
            </w:r>
          </w:p>
        </w:tc>
      </w:tr>
    </w:tbl>
    <w:bookmarkEnd w:id="83"/>
    <w:bookmarkStart w:id="84" w:name="Xc2bc3b60f8270d8aea98b24aa85b8d8fe63b1c6"/>
    <w:p>
      <w:pPr>
        <w:pStyle w:val="Heading2"/>
      </w:pPr>
      <w:r>
        <w:t xml:space="preserve">11.9 Étapes de construction suivies (méthode, pour reproduction future)</w:t>
      </w:r>
    </w:p>
    <w:p>
      <w:pPr>
        <w:pStyle w:val="FirstParagraph"/>
      </w:pPr>
      <w:r>
        <w:t xml:space="preserve">Pour référence, la méthode suivie pour chaque page a été : import du thème -&gt; réglage de la toile (fond, pas d’ombre, contraste par couleur de fond plutôt que par effet de profondeur) -&gt; bandeau titre + navigation -&gt; slicer Période -&gt; contenu spécifique de la page -&gt; vérification des interactions -&gt; titres et noms de colonnes courts. La Page 1 a servi de squelette dupliqué pour les 4 pages suivantes (bandeau, navigation, slicer conservés à l’identique, contenu de page remplacé).</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Star Schema ��� Documentation Technique v3</dc:title>
  <dc:creator/>
  <cp:keywords/>
  <dcterms:created xsi:type="dcterms:W3CDTF">2026-07-30T02:10:13Z</dcterms:created>
  <dcterms:modified xsi:type="dcterms:W3CDTF">2026-07-30T02:10:13Z</dcterms:modified>
</cp:coreProperties>
</file>

<file path=docProps/custom.xml><?xml version="1.0" encoding="utf-8"?>
<Properties xmlns="http://schemas.openxmlformats.org/officeDocument/2006/custom-properties" xmlns:vt="http://schemas.openxmlformats.org/officeDocument/2006/docPropsVTypes"/>
</file>