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Corrections à intégrer — Projet BI Analyse de Prêts Bancaires</w:t>
      </w:r>
    </w:p>
    <w:p>
      <w:pPr>
        <w:spacing w:after="120"/>
      </w:pPr>
      <w:r>
        <w:rPr>
          <w:i/>
          <w:iCs/>
        </w:rPr>
        <w:t xml:space="preserve">Document de travail listant les écarts identifiés entre le rapport initial et le dashboard Power BI réellement construit, avec le texte corrigé prêt à copier-coller dans le document source.</w:t>
      </w:r>
    </w:p>
    <w:p>
      <w:pPr>
        <w:pStyle w:val="Heading1"/>
        <w:spacing w:after="150" w:before="300"/>
      </w:pPr>
      <w:r>
        <w:t xml:space="preserve">1. Période réelle des données (Section 1.1)</w:t>
      </w:r>
    </w:p>
    <w:p>
      <w:pPr>
        <w:spacing w:after="120"/>
      </w:pPr>
      <w:r>
        <w:rPr>
          <w:b/>
          <w:bCs/>
        </w:rPr>
        <w:t xml:space="preserve">Avant :</w:t>
      </w:r>
    </w:p>
    <w:p>
      <w:pPr>
        <w:spacing w:after="120"/>
      </w:pPr>
      <w:r>
        <w:t xml:space="preserve">« Le dataset couvre 38 576 de ces contrats, répartis dans 50 États américains sur la période 2021–2024. »</w:t>
      </w:r>
    </w:p>
    <w:p>
      <w:pPr>
        <w:spacing w:after="120"/>
      </w:pPr>
      <w:r>
        <w:rPr>
          <w:b/>
          <w:bCs/>
        </w:rPr>
        <w:t xml:space="preserve">Après :</w:t>
      </w:r>
    </w:p>
    <w:p>
      <w:pPr>
        <w:spacing w:after="120"/>
      </w:pPr>
      <w:r>
        <w:t xml:space="preserve">« Le dataset couvre 38 576 de ces contrats, répartis dans 50 États américains. Les prêts ont été émis sur l'année 2021 (du 1er janvier au 12 décembre 2021), avec un suivi de paiement — dernier paiement, prochain paiement, dernier tirage de crédit — s'étendant jusqu'en janvier 2022. »</w:t>
      </w:r>
    </w:p>
    <w:p>
      <w:pPr>
        <w:spacing w:after="120"/>
      </w:pPr>
      <w:r>
        <w:t xml:space="preserve">Justification : vérification directe sur LOANS_FACT.csv — la colonne ISSUE_DATE_ID ne contient aucune date après le 12 décembre 2021. Les 3 autres colonnes de dates s'étendent au maximum jusqu'au 20 janvier 2022.</w:t>
      </w:r>
    </w:p>
    <w:p>
      <w:pPr>
        <w:pStyle w:val="Heading1"/>
        <w:spacing w:after="150" w:before="300"/>
      </w:pPr>
      <w:r>
        <w:t xml:space="preserve">2. Note complémentaire sur la table calendrier (Section 2.2)</w:t>
      </w:r>
    </w:p>
    <w:p>
      <w:pPr>
        <w:spacing w:after="120"/>
      </w:pPr>
      <w:r>
        <w:rPr>
          <w:b/>
          <w:bCs/>
        </w:rPr>
        <w:t xml:space="preserve">À ajouter à la fin de la section :</w:t>
      </w:r>
    </w:p>
    <w:p>
      <w:pPr>
        <w:spacing w:after="120"/>
      </w:pPr>
      <w:r>
        <w:t xml:space="preserve">« Note : bien que Date_Dimension_tab couvre une période plus large (octobre 2021–janvier 2024), aucune donnée réelle de prêt ne dépasse janvier 2022. La table calendrier est volontairement construite plus large que les données actuelles — bonne pratique de modélisation permettant d'anticiper l'arrivée de nouvelles données sans reconstruction du modèle. »</w:t>
      </w:r>
    </w:p>
    <w:p>
      <w:pPr>
        <w:pStyle w:val="Heading1"/>
        <w:spacing w:after="150" w:before="300"/>
      </w:pPr>
      <w:r>
        <w:t xml:space="preserve">3. Harmonisation des noms de mesures (Français)</w:t>
      </w:r>
    </w:p>
    <w:p>
      <w:pPr>
        <w:spacing w:after="120"/>
      </w:pPr>
      <w:r>
        <w:t xml:space="preserve">Le rapport initial utilise des noms de mesures en anglais (sections 1.4, 5 et 6), alors que le modèle Power BI final utilise des noms en français. Remplacer partout dans le document :</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shd w:fill="D9E2F3" w:val="clear"/>
          </w:tcPr>
          <w:p>
            <w:r>
              <w:rPr>
                <w:b/>
                <w:bCs/>
              </w:rPr>
              <w:t xml:space="preserve">Nom dans le rapport (à remplacer)</w:t>
            </w:r>
          </w:p>
        </w:tc>
        <w:tc>
          <w:tcPr>
            <w:tcW w:type="dxa" w:w="5500"/>
            <w:shd w:fill="D9E2F3" w:val="clear"/>
          </w:tcPr>
          <w:p>
            <w:r>
              <w:rPr>
                <w:b/>
                <w:bCs/>
              </w:rPr>
              <w:t xml:space="preserve">Nom réel dans le modèle Power BI</w:t>
            </w:r>
          </w:p>
        </w:tc>
      </w:tr>
      <w:tr>
        <w:tc>
          <w:tcPr>
            <w:tcW w:type="dxa" w:w="5500"/>
          </w:tcPr>
          <w:p>
            <w:r>
              <w:rPr>
                <w:b w:val="false"/>
                <w:bCs w:val="false"/>
              </w:rPr>
              <w:t xml:space="preserve">Total Loan Amount</w:t>
            </w:r>
          </w:p>
        </w:tc>
        <w:tc>
          <w:tcPr>
            <w:tcW w:type="dxa" w:w="5500"/>
          </w:tcPr>
          <w:p>
            <w:r>
              <w:rPr>
                <w:b w:val="false"/>
                <w:bCs w:val="false"/>
              </w:rPr>
              <w:t xml:space="preserve">Montant Total Prêté</w:t>
            </w:r>
          </w:p>
        </w:tc>
      </w:tr>
      <w:tr>
        <w:tc>
          <w:tcPr>
            <w:tcW w:type="dxa" w:w="5500"/>
          </w:tcPr>
          <w:p>
            <w:r>
              <w:rPr>
                <w:b w:val="false"/>
                <w:bCs w:val="false"/>
              </w:rPr>
              <w:t xml:space="preserve">Total Loans</w:t>
            </w:r>
          </w:p>
        </w:tc>
        <w:tc>
          <w:tcPr>
            <w:tcW w:type="dxa" w:w="5500"/>
          </w:tcPr>
          <w:p>
            <w:r>
              <w:rPr>
                <w:b w:val="false"/>
                <w:bCs w:val="false"/>
              </w:rPr>
              <w:t xml:space="preserve">Nombre Total de Prêts</w:t>
            </w:r>
          </w:p>
        </w:tc>
      </w:tr>
      <w:tr>
        <w:tc>
          <w:tcPr>
            <w:tcW w:type="dxa" w:w="5500"/>
          </w:tcPr>
          <w:p>
            <w:r>
              <w:rPr>
                <w:b w:val="false"/>
                <w:bCs w:val="false"/>
              </w:rPr>
              <w:t xml:space="preserve">Avg Loan Amount</w:t>
            </w:r>
          </w:p>
        </w:tc>
        <w:tc>
          <w:tcPr>
            <w:tcW w:type="dxa" w:w="5500"/>
          </w:tcPr>
          <w:p>
            <w:r>
              <w:rPr>
                <w:b w:val="false"/>
                <w:bCs w:val="false"/>
              </w:rPr>
              <w:t xml:space="preserve">Montant Moyen par Prêt</w:t>
            </w:r>
          </w:p>
        </w:tc>
      </w:tr>
      <w:tr>
        <w:tc>
          <w:tcPr>
            <w:tcW w:type="dxa" w:w="5500"/>
          </w:tcPr>
          <w:p>
            <w:r>
              <w:rPr>
                <w:b w:val="false"/>
                <w:bCs w:val="false"/>
              </w:rPr>
              <w:t xml:space="preserve">Total Payment</w:t>
            </w:r>
          </w:p>
        </w:tc>
        <w:tc>
          <w:tcPr>
            <w:tcW w:type="dxa" w:w="5500"/>
          </w:tcPr>
          <w:p>
            <w:r>
              <w:rPr>
                <w:b w:val="false"/>
                <w:bCs w:val="false"/>
              </w:rPr>
              <w:t xml:space="preserve">Montant Total Remboursé</w:t>
            </w:r>
          </w:p>
        </w:tc>
      </w:tr>
      <w:tr>
        <w:tc>
          <w:tcPr>
            <w:tcW w:type="dxa" w:w="5500"/>
          </w:tcPr>
          <w:p>
            <w:r>
              <w:rPr>
                <w:b w:val="false"/>
                <w:bCs w:val="false"/>
              </w:rPr>
              <w:t xml:space="preserve">Charged Off Loans</w:t>
            </w:r>
          </w:p>
        </w:tc>
        <w:tc>
          <w:tcPr>
            <w:tcW w:type="dxa" w:w="5500"/>
          </w:tcPr>
          <w:p>
            <w:r>
              <w:rPr>
                <w:b w:val="false"/>
                <w:bCs w:val="false"/>
              </w:rPr>
              <w:t xml:space="preserve">Nombre de Prêts en Défaut</w:t>
            </w:r>
          </w:p>
        </w:tc>
      </w:tr>
      <w:tr>
        <w:tc>
          <w:tcPr>
            <w:tcW w:type="dxa" w:w="5500"/>
          </w:tcPr>
          <w:p>
            <w:r>
              <w:rPr>
                <w:b w:val="false"/>
                <w:bCs w:val="false"/>
              </w:rPr>
              <w:t xml:space="preserve">Charge Off Rate</w:t>
            </w:r>
          </w:p>
        </w:tc>
        <w:tc>
          <w:tcPr>
            <w:tcW w:type="dxa" w:w="5500"/>
          </w:tcPr>
          <w:p>
            <w:r>
              <w:rPr>
                <w:b w:val="false"/>
                <w:bCs w:val="false"/>
              </w:rPr>
              <w:t xml:space="preserve">Taux de Défaut</w:t>
            </w:r>
          </w:p>
        </w:tc>
      </w:tr>
      <w:tr>
        <w:tc>
          <w:tcPr>
            <w:tcW w:type="dxa" w:w="5500"/>
          </w:tcPr>
          <w:p>
            <w:r>
              <w:rPr>
                <w:b w:val="false"/>
                <w:bCs w:val="false"/>
              </w:rPr>
              <w:t xml:space="preserve">Return Rate</w:t>
            </w:r>
          </w:p>
        </w:tc>
        <w:tc>
          <w:tcPr>
            <w:tcW w:type="dxa" w:w="5500"/>
          </w:tcPr>
          <w:p>
            <w:r>
              <w:rPr>
                <w:b w:val="false"/>
                <w:bCs w:val="false"/>
              </w:rPr>
              <w:t xml:space="preserve">Taux de Remboursement</w:t>
            </w:r>
          </w:p>
        </w:tc>
      </w:tr>
      <w:tr>
        <w:tc>
          <w:tcPr>
            <w:tcW w:type="dxa" w:w="5500"/>
          </w:tcPr>
          <w:p>
            <w:r>
              <w:rPr>
                <w:b w:val="false"/>
                <w:bCs w:val="false"/>
              </w:rPr>
              <w:t xml:space="preserve">Avg Interest Rate</w:t>
            </w:r>
          </w:p>
        </w:tc>
        <w:tc>
          <w:tcPr>
            <w:tcW w:type="dxa" w:w="5500"/>
          </w:tcPr>
          <w:p>
            <w:r>
              <w:rPr>
                <w:b w:val="false"/>
                <w:bCs w:val="false"/>
              </w:rPr>
              <w:t xml:space="preserve">Taux d'Intérêt Moyen</w:t>
            </w:r>
          </w:p>
        </w:tc>
      </w:tr>
      <w:tr>
        <w:tc>
          <w:tcPr>
            <w:tcW w:type="dxa" w:w="5500"/>
          </w:tcPr>
          <w:p>
            <w:r>
              <w:rPr>
                <w:b w:val="false"/>
                <w:bCs w:val="false"/>
              </w:rPr>
              <w:t xml:space="preserve">Avg DTI</w:t>
            </w:r>
          </w:p>
        </w:tc>
        <w:tc>
          <w:tcPr>
            <w:tcW w:type="dxa" w:w="5500"/>
          </w:tcPr>
          <w:p>
            <w:r>
              <w:rPr>
                <w:b w:val="false"/>
                <w:bCs w:val="false"/>
              </w:rPr>
              <w:t xml:space="preserve">DTI Moyen</w:t>
            </w:r>
          </w:p>
        </w:tc>
      </w:tr>
      <w:tr>
        <w:tc>
          <w:tcPr>
            <w:tcW w:type="dxa" w:w="5500"/>
          </w:tcPr>
          <w:p>
            <w:r>
              <w:rPr>
                <w:b w:val="false"/>
                <w:bCs w:val="false"/>
              </w:rPr>
              <w:t xml:space="preserve">Avg Annual Income</w:t>
            </w:r>
          </w:p>
        </w:tc>
        <w:tc>
          <w:tcPr>
            <w:tcW w:type="dxa" w:w="5500"/>
          </w:tcPr>
          <w:p>
            <w:r>
              <w:rPr>
                <w:b w:val="false"/>
                <w:bCs w:val="false"/>
              </w:rPr>
              <w:t xml:space="preserve">Revenu Annuel Moyen</w:t>
            </w:r>
          </w:p>
        </w:tc>
      </w:tr>
      <w:tr>
        <w:tc>
          <w:tcPr>
            <w:tcW w:type="dxa" w:w="5500"/>
          </w:tcPr>
          <w:p>
            <w:r>
              <w:rPr>
                <w:b w:val="false"/>
                <w:bCs w:val="false"/>
              </w:rPr>
              <w:t xml:space="preserve">Charged Off Amount</w:t>
            </w:r>
          </w:p>
        </w:tc>
        <w:tc>
          <w:tcPr>
            <w:tcW w:type="dxa" w:w="5500"/>
          </w:tcPr>
          <w:p>
            <w:r>
              <w:rPr>
                <w:b w:val="false"/>
                <w:bCs w:val="false"/>
              </w:rPr>
              <w:t xml:space="preserve">Montant en Défaut</w:t>
            </w:r>
          </w:p>
        </w:tc>
      </w:tr>
      <w:tr>
        <w:tc>
          <w:tcPr>
            <w:tcW w:type="dxa" w:w="5500"/>
          </w:tcPr>
          <w:p>
            <w:r>
              <w:rPr>
                <w:b w:val="false"/>
                <w:bCs w:val="false"/>
              </w:rPr>
              <w:t xml:space="preserve">Montant Recouvré (Date Dernier Paiement)</w:t>
            </w:r>
          </w:p>
        </w:tc>
        <w:tc>
          <w:tcPr>
            <w:tcW w:type="dxa" w:w="5500"/>
          </w:tcPr>
          <w:p>
            <w:r>
              <w:rPr>
                <w:b w:val="false"/>
                <w:bCs w:val="false"/>
              </w:rPr>
              <w:t xml:space="preserve">Montant Remboursé (Date Dernier Paiement)</w:t>
            </w:r>
          </w:p>
        </w:tc>
      </w:tr>
      <w:tr>
        <w:tc>
          <w:tcPr>
            <w:tcW w:type="dxa" w:w="5500"/>
          </w:tcPr>
          <w:p>
            <w:r>
              <w:rPr>
                <w:b w:val="false"/>
                <w:bCs w:val="false"/>
              </w:rPr>
              <w:t xml:space="preserve">Loan Amount MoM</w:t>
            </w:r>
          </w:p>
        </w:tc>
        <w:tc>
          <w:tcPr>
            <w:tcW w:type="dxa" w:w="5500"/>
          </w:tcPr>
          <w:p>
            <w:r>
              <w:rPr>
                <w:b w:val="false"/>
                <w:bCs w:val="false"/>
              </w:rPr>
              <w:t xml:space="preserve">Montant Prêté M-1</w:t>
            </w:r>
          </w:p>
        </w:tc>
      </w:tr>
      <w:tr>
        <w:tc>
          <w:tcPr>
            <w:tcW w:type="dxa" w:w="5500"/>
          </w:tcPr>
          <w:p>
            <w:r>
              <w:rPr>
                <w:b w:val="false"/>
                <w:bCs w:val="false"/>
              </w:rPr>
              <w:t xml:space="preserve">Loan Growth MoM %</w:t>
            </w:r>
          </w:p>
        </w:tc>
        <w:tc>
          <w:tcPr>
            <w:tcW w:type="dxa" w:w="5500"/>
          </w:tcPr>
          <w:p>
            <w:r>
              <w:rPr>
                <w:b w:val="false"/>
                <w:bCs w:val="false"/>
              </w:rPr>
              <w:t xml:space="preserve">Croissance Mensuelle</w:t>
            </w:r>
          </w:p>
        </w:tc>
      </w:tr>
      <w:tr>
        <w:tc>
          <w:tcPr>
            <w:tcW w:type="dxa" w:w="5500"/>
          </w:tcPr>
          <w:p>
            <w:r>
              <w:rPr>
                <w:b w:val="false"/>
                <w:bCs w:val="false"/>
              </w:rPr>
              <w:t xml:space="preserve">Loan Amount YTD</w:t>
            </w:r>
          </w:p>
        </w:tc>
        <w:tc>
          <w:tcPr>
            <w:tcW w:type="dxa" w:w="5500"/>
          </w:tcPr>
          <w:p>
            <w:r>
              <w:rPr>
                <w:b w:val="false"/>
                <w:bCs w:val="false"/>
              </w:rPr>
              <w:t xml:space="preserve">Montant Prêté Cumul Annuel</w:t>
            </w:r>
          </w:p>
        </w:tc>
      </w:tr>
    </w:tbl>
    <w:p>
      <w:pPr>
        <w:pStyle w:val="Heading1"/>
        <w:spacing w:after="150" w:before="300"/>
      </w:pPr>
      <w:r>
        <w:t xml:space="preserve">4. Corrections de coquilles</w:t>
      </w:r>
    </w:p>
    <w:p>
      <w:pPr>
        <w:pStyle w:val="ListParagraph"/>
        <w:numPr>
          <w:ilvl w:val="0"/>
          <w:numId w:val="1"/>
        </w:numPr>
        <w:spacing w:after="60"/>
      </w:pPr>
      <w:r>
        <w:t xml:space="preserve">Encadré « Alerte métier » (page 2) : « Le taux de défaut observé dans ce dataset est de 14% %. » → « ... est de 13,82 %. » (double signe % à corriger, et valeur exacte plutôt qu'arrondie)</w:t>
      </w:r>
    </w:p>
    <w:p>
      <w:pPr>
        <w:pStyle w:val="ListParagraph"/>
        <w:numPr>
          <w:ilvl w:val="0"/>
          <w:numId w:val="1"/>
        </w:numPr>
        <w:spacing w:after="60"/>
      </w:pPr>
      <w:r>
        <w:t xml:space="preserve">Section 7.1, tableau des chiffres clés : « Taux de défaut global 14%% » → « Taux de défaut global 13,82 % »</w:t>
      </w:r>
    </w:p>
    <w:p>
      <w:pPr>
        <w:pStyle w:val="Heading1"/>
        <w:spacing w:after="150" w:before="300"/>
      </w:pPr>
      <w:r>
        <w:t xml:space="preserve">5. Correction de la formule DAX — Taux d'Intérêt Moyen</w:t>
      </w:r>
    </w:p>
    <w:p>
      <w:pPr>
        <w:spacing w:after="120"/>
      </w:pPr>
      <w:r>
        <w:t xml:space="preserve">La colonne INT_RATE a été multipliée par 100 en Power Query (section 3.3.2). La mesure doit donc diviser par 100 pour repasser en fraction, format attendu par le format Pourcentage natif de Power BI :</w:t>
      </w:r>
    </w:p>
    <w:p>
      <w:pPr>
        <w:spacing w:after="0"/>
      </w:pPr>
      <w:r>
        <w:rPr>
          <w:rFonts w:ascii="Consolas" w:cs="Consolas" w:eastAsia="Consolas" w:hAnsi="Consolas"/>
          <w:sz w:val="18"/>
          <w:szCs w:val="18"/>
        </w:rPr>
        <w:t xml:space="preserve">Taux d'Intérêt Moyen = AVERAGE(LOANS_FACT[INT_RATE]) / 100</w:t>
      </w:r>
    </w:p>
    <w:p>
      <w:pPr>
        <w:spacing w:after="120"/>
      </w:pPr>
      <w:r>
        <w:t xml:space="preserve">Sans ce /100, un format Pourcentage natif appliqué sur la carte double la valeur (12,05 % devient 1204,88 %).</w:t>
      </w:r>
    </w:p>
    <w:p>
      <w:pPr>
        <w:pStyle w:val="Heading1"/>
        <w:spacing w:after="150" w:before="300"/>
      </w:pPr>
      <w:r>
        <w:t xml:space="preserve">6. Correction de la formule DAX — Croissance Mensuelle</w:t>
      </w:r>
    </w:p>
    <w:p>
      <w:pPr>
        <w:spacing w:after="120"/>
      </w:pPr>
      <w:r>
        <w:t xml:space="preserve">La version initiale comparait un jour précis à un autre jour précis (ex. 12 décembre vs 12 novembre), ce qui tombe à 0 dès que ces jours précis n'ont pas de transaction. Version corrigée, qui compare des mois entiers :</w:t>
      </w:r>
    </w:p>
    <w:p>
      <w:pPr>
        <w:spacing w:after="0"/>
      </w:pPr>
      <w:r>
        <w:rPr>
          <w:rFonts w:ascii="Consolas" w:cs="Consolas" w:eastAsia="Consolas" w:hAnsi="Consolas"/>
          <w:sz w:val="18"/>
          <w:szCs w:val="18"/>
        </w:rPr>
        <w:t xml:space="preserve">Croissance Mensuelle =</w:t>
      </w:r>
    </w:p>
    <w:p>
      <w:pPr>
        <w:spacing w:after="0"/>
      </w:pPr>
      <w:r>
        <w:rPr>
          <w:rFonts w:ascii="Consolas" w:cs="Consolas" w:eastAsia="Consolas" w:hAnsi="Consolas"/>
          <w:sz w:val="18"/>
          <w:szCs w:val="18"/>
        </w:rPr>
        <w:t xml:space="preserve">VAR DernierMoisAvecDonnees =</w:t>
      </w:r>
    </w:p>
    <w:p>
      <w:pPr>
        <w:spacing w:after="0"/>
      </w:pPr>
      <w:r>
        <w:rPr>
          <w:rFonts w:ascii="Consolas" w:cs="Consolas" w:eastAsia="Consolas" w:hAnsi="Consolas"/>
          <w:sz w:val="18"/>
          <w:szCs w:val="18"/>
        </w:rPr>
        <w:t xml:space="preserve">    CALCULATE(</w:t>
      </w:r>
    </w:p>
    <w:p>
      <w:pPr>
        <w:spacing w:after="0"/>
      </w:pPr>
      <w:r>
        <w:rPr>
          <w:rFonts w:ascii="Consolas" w:cs="Consolas" w:eastAsia="Consolas" w:hAnsi="Consolas"/>
          <w:sz w:val="18"/>
          <w:szCs w:val="18"/>
        </w:rPr>
        <w:t xml:space="preserve">        MAX('Date_Dimension_tab'[DATEKEY]),</w:t>
      </w:r>
    </w:p>
    <w:p>
      <w:pPr>
        <w:spacing w:after="0"/>
      </w:pPr>
      <w:r>
        <w:rPr>
          <w:rFonts w:ascii="Consolas" w:cs="Consolas" w:eastAsia="Consolas" w:hAnsi="Consolas"/>
          <w:sz w:val="18"/>
          <w:szCs w:val="18"/>
        </w:rPr>
        <w:t xml:space="preserve">        FILTER(ALL('Date_Dimension_tab'), [Montant Total Prêté] &lt;&gt;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VAR AnneeDernier = YEAR(DernierMoisAvecDonnees)</w:t>
      </w:r>
    </w:p>
    <w:p>
      <w:pPr>
        <w:spacing w:after="0"/>
      </w:pPr>
      <w:r>
        <w:rPr>
          <w:rFonts w:ascii="Consolas" w:cs="Consolas" w:eastAsia="Consolas" w:hAnsi="Consolas"/>
          <w:sz w:val="18"/>
          <w:szCs w:val="18"/>
        </w:rPr>
        <w:t xml:space="preserve">VAR MoisDernier = MONTH(DernierMoisAvecDonnees)</w:t>
      </w:r>
    </w:p>
    <w:p>
      <w:pPr>
        <w:spacing w:after="0"/>
      </w:pPr>
      <w:r>
        <w:rPr>
          <w:rFonts w:ascii="Consolas" w:cs="Consolas" w:eastAsia="Consolas" w:hAnsi="Consolas"/>
          <w:sz w:val="18"/>
          <w:szCs w:val="18"/>
        </w:rPr>
        <w:t xml:space="preserve">VAR MontantMoisActuel =</w:t>
      </w:r>
    </w:p>
    <w:p>
      <w:pPr>
        <w:spacing w:after="0"/>
      </w:pPr>
      <w:r>
        <w:rPr>
          <w:rFonts w:ascii="Consolas" w:cs="Consolas" w:eastAsia="Consolas" w:hAnsi="Consolas"/>
          <w:sz w:val="18"/>
          <w:szCs w:val="18"/>
        </w:rPr>
        <w:t xml:space="preserve">    CALCULATE(</w:t>
      </w:r>
    </w:p>
    <w:p>
      <w:pPr>
        <w:spacing w:after="0"/>
      </w:pPr>
      <w:r>
        <w:rPr>
          <w:rFonts w:ascii="Consolas" w:cs="Consolas" w:eastAsia="Consolas" w:hAnsi="Consolas"/>
          <w:sz w:val="18"/>
          <w:szCs w:val="18"/>
        </w:rPr>
        <w:t xml:space="preserve">        [Montant Total Prêté],</w:t>
      </w:r>
    </w:p>
    <w:p>
      <w:pPr>
        <w:spacing w:after="0"/>
      </w:pPr>
      <w:r>
        <w:rPr>
          <w:rFonts w:ascii="Consolas" w:cs="Consolas" w:eastAsia="Consolas" w:hAnsi="Consolas"/>
          <w:sz w:val="18"/>
          <w:szCs w:val="18"/>
        </w:rPr>
        <w:t xml:space="preserve">        ALL('Date_Dimension_tab'),</w:t>
      </w:r>
    </w:p>
    <w:p>
      <w:pPr>
        <w:spacing w:after="0"/>
      </w:pPr>
      <w:r>
        <w:rPr>
          <w:rFonts w:ascii="Consolas" w:cs="Consolas" w:eastAsia="Consolas" w:hAnsi="Consolas"/>
          <w:sz w:val="18"/>
          <w:szCs w:val="18"/>
        </w:rPr>
        <w:t xml:space="preserve">        'Date_Dimension_tab'[YEAR] = AnneeDernier,</w:t>
      </w:r>
    </w:p>
    <w:p>
      <w:pPr>
        <w:spacing w:after="0"/>
      </w:pPr>
      <w:r>
        <w:rPr>
          <w:rFonts w:ascii="Consolas" w:cs="Consolas" w:eastAsia="Consolas" w:hAnsi="Consolas"/>
          <w:sz w:val="18"/>
          <w:szCs w:val="18"/>
        </w:rPr>
        <w:t xml:space="preserve">        'Date_Dimension_tab'[MONTH] = MoisDernier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VAR DateMoisPrecedent = EDATE(DATE(AnneeDernier, MoisDernier, 1), -1)</w:t>
      </w:r>
    </w:p>
    <w:p>
      <w:pPr>
        <w:spacing w:after="0"/>
      </w:pPr>
      <w:r>
        <w:rPr>
          <w:rFonts w:ascii="Consolas" w:cs="Consolas" w:eastAsia="Consolas" w:hAnsi="Consolas"/>
          <w:sz w:val="18"/>
          <w:szCs w:val="18"/>
        </w:rPr>
        <w:t xml:space="preserve">VAR AnneePrec = YEAR(DateMoisPrecedent)</w:t>
      </w:r>
    </w:p>
    <w:p>
      <w:pPr>
        <w:spacing w:after="0"/>
      </w:pPr>
      <w:r>
        <w:rPr>
          <w:rFonts w:ascii="Consolas" w:cs="Consolas" w:eastAsia="Consolas" w:hAnsi="Consolas"/>
          <w:sz w:val="18"/>
          <w:szCs w:val="18"/>
        </w:rPr>
        <w:t xml:space="preserve">VAR MoisPrec = MONTH(DateMoisPrecedent)</w:t>
      </w:r>
    </w:p>
    <w:p>
      <w:pPr>
        <w:spacing w:after="0"/>
      </w:pPr>
      <w:r>
        <w:rPr>
          <w:rFonts w:ascii="Consolas" w:cs="Consolas" w:eastAsia="Consolas" w:hAnsi="Consolas"/>
          <w:sz w:val="18"/>
          <w:szCs w:val="18"/>
        </w:rPr>
        <w:t xml:space="preserve">VAR MontantMoisPrecedent =</w:t>
      </w:r>
    </w:p>
    <w:p>
      <w:pPr>
        <w:spacing w:after="0"/>
      </w:pPr>
      <w:r>
        <w:rPr>
          <w:rFonts w:ascii="Consolas" w:cs="Consolas" w:eastAsia="Consolas" w:hAnsi="Consolas"/>
          <w:sz w:val="18"/>
          <w:szCs w:val="18"/>
        </w:rPr>
        <w:t xml:space="preserve">    CALCULATE(</w:t>
      </w:r>
    </w:p>
    <w:p>
      <w:pPr>
        <w:spacing w:after="0"/>
      </w:pPr>
      <w:r>
        <w:rPr>
          <w:rFonts w:ascii="Consolas" w:cs="Consolas" w:eastAsia="Consolas" w:hAnsi="Consolas"/>
          <w:sz w:val="18"/>
          <w:szCs w:val="18"/>
        </w:rPr>
        <w:t xml:space="preserve">        [Montant Total Prêté],</w:t>
      </w:r>
    </w:p>
    <w:p>
      <w:pPr>
        <w:spacing w:after="0"/>
      </w:pPr>
      <w:r>
        <w:rPr>
          <w:rFonts w:ascii="Consolas" w:cs="Consolas" w:eastAsia="Consolas" w:hAnsi="Consolas"/>
          <w:sz w:val="18"/>
          <w:szCs w:val="18"/>
        </w:rPr>
        <w:t xml:space="preserve">        ALL('Date_Dimension_tab'),</w:t>
      </w:r>
    </w:p>
    <w:p>
      <w:pPr>
        <w:spacing w:after="0"/>
      </w:pPr>
      <w:r>
        <w:rPr>
          <w:rFonts w:ascii="Consolas" w:cs="Consolas" w:eastAsia="Consolas" w:hAnsi="Consolas"/>
          <w:sz w:val="18"/>
          <w:szCs w:val="18"/>
        </w:rPr>
        <w:t xml:space="preserve">        'Date_Dimension_tab'[YEAR] = AnneePrec,</w:t>
      </w:r>
    </w:p>
    <w:p>
      <w:pPr>
        <w:spacing w:after="0"/>
      </w:pPr>
      <w:r>
        <w:rPr>
          <w:rFonts w:ascii="Consolas" w:cs="Consolas" w:eastAsia="Consolas" w:hAnsi="Consolas"/>
          <w:sz w:val="18"/>
          <w:szCs w:val="18"/>
        </w:rPr>
        <w:t xml:space="preserve">        'Date_Dimension_tab'[MONTH] = MoisPrec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RETURN</w:t>
      </w:r>
    </w:p>
    <w:p>
      <w:pPr>
        <w:spacing w:after="0"/>
      </w:pPr>
      <w:r>
        <w:rPr>
          <w:rFonts w:ascii="Consolas" w:cs="Consolas" w:eastAsia="Consolas" w:hAnsi="Consolas"/>
          <w:sz w:val="18"/>
          <w:szCs w:val="18"/>
        </w:rPr>
        <w:t xml:space="preserve">    DIVIDE(MontantMoisActuel - MontantMoisPrecedent, MontantMoisPrecedent, 0)</w:t>
      </w:r>
    </w:p>
    <w:p>
      <w:pPr>
        <w:spacing w:after="120"/>
      </w:pPr>
      <w:r>
        <w:t xml:space="preserve">Résultat validé : +13,04 % (décembre 2021 vs novembre 2021), cohérent avec le calcul de contrôle sur les données sources.</w:t>
      </w:r>
    </w:p>
    <w:p>
      <w:pPr>
        <w:pStyle w:val="Heading1"/>
        <w:spacing w:after="150" w:before="300"/>
      </w:pPr>
      <w:r>
        <w:t xml:space="preserve">7. Ajustement de l'Insight 4 (Section 7.3)</w:t>
      </w:r>
    </w:p>
    <w:p>
      <w:pPr>
        <w:spacing w:after="120"/>
      </w:pPr>
      <w:r>
        <w:rPr>
          <w:b/>
          <w:bCs/>
        </w:rPr>
        <w:t xml:space="preserve">Avant :</w:t>
      </w:r>
    </w:p>
    <w:p>
      <w:pPr>
        <w:spacing w:after="120"/>
      </w:pPr>
      <w:r>
        <w:t xml:space="preserve">« Le volume mensuel a doublé entre janvier et décembre 2021 (+116 %). Le taux de défaut est resté stable dans une fourchette de 13–15 %. »</w:t>
      </w:r>
    </w:p>
    <w:p>
      <w:pPr>
        <w:spacing w:after="120"/>
      </w:pPr>
      <w:r>
        <w:rPr>
          <w:b/>
          <w:bCs/>
        </w:rPr>
        <w:t xml:space="preserve">Après :</w:t>
      </w:r>
    </w:p>
    <w:p>
      <w:pPr>
        <w:spacing w:after="120"/>
      </w:pPr>
      <w:r>
        <w:t xml:space="preserve">« Le volume mensuel a doublé entre janvier et décembre 2021 (+115,7 %). Le taux de défaut oscille entre 11,6 % et 15,1 % sur l'année, avec deux pics notables en mai (15,1 %) et décembre (15,0 %), sans tendance de fond claire. La croissance du volume ne s'est donc pas accompagnée d'une dégradation continue de la qualité du portefeuille. »</w:t>
      </w:r>
    </w:p>
    <w:p>
      <w:pPr>
        <w:spacing w:after="120"/>
      </w:pPr>
      <w:r>
        <w:t xml:space="preserve">Justification : vérification mois par mois sur les données sources — février est le point bas (11,58 %), en dehors de la fourchette initialement annoncée.</w:t>
      </w:r>
    </w:p>
    <w:p>
      <w:pPr>
        <w:pStyle w:val="Heading1"/>
        <w:spacing w:after="150" w:before="300"/>
      </w:pPr>
      <w:r>
        <w:t xml:space="preserve">8. Réécriture complète de la Section 8 — Conception du dashboard</w:t>
      </w:r>
    </w:p>
    <w:p>
      <w:pPr>
        <w:spacing w:after="120"/>
      </w:pPr>
      <w:r>
        <w:t xml:space="preserve">Cette section doit refléter le dashboard réellement construit, qui diverge sur plusieurs points du plan initial (mesures supplémentaires ajoutées en cours de construction, Treemap remplacé par une Table, etc.).</w:t>
      </w:r>
    </w:p>
    <w:p>
      <w:pPr>
        <w:pStyle w:val="Heading2"/>
        <w:spacing w:after="120" w:before="250"/>
      </w:pPr>
      <w:r>
        <w:t xml:space="preserve">8.1 Page 1 — Vue Exécutive</w:t>
      </w:r>
    </w:p>
    <w:p>
      <w:pPr>
        <w:spacing w:after="120"/>
      </w:pPr>
      <w:r>
        <w:t xml:space="preserve">Objectif : un dirigeant lit cette page en 30 secondes et comprend l'état du portefeuille.</w:t>
      </w:r>
    </w:p>
    <w:p>
      <w:pPr>
        <w:pStyle w:val="ListParagraph"/>
        <w:numPr>
          <w:ilvl w:val="0"/>
          <w:numId w:val="1"/>
        </w:numPr>
        <w:spacing w:after="60"/>
      </w:pPr>
      <w:r>
        <w:t xml:space="preserve">5 KPI Cards : Montant Total Prêté, Taux de Défaut, Taux de Remboursement, Taux d'Intérêt Moyen, DTI Moyen</w:t>
      </w:r>
    </w:p>
    <w:p>
      <w:pPr>
        <w:pStyle w:val="ListParagraph"/>
        <w:numPr>
          <w:ilvl w:val="0"/>
          <w:numId w:val="1"/>
        </w:numPr>
        <w:spacing w:after="60"/>
      </w:pPr>
      <w:r>
        <w:t xml:space="preserve">Donut chart : répartition par statut (Fully Paid / Charged Off / Current), basé sur Nombre Total de Prêts</w:t>
      </w:r>
    </w:p>
    <w:p>
      <w:pPr>
        <w:pStyle w:val="ListParagraph"/>
        <w:numPr>
          <w:ilvl w:val="0"/>
          <w:numId w:val="1"/>
        </w:numPr>
        <w:spacing w:after="60"/>
      </w:pPr>
      <w:r>
        <w:t xml:space="preserve">Bar chart horizontal : Taux de Défaut par Grade (A → G, dégradé vert→rouge)</w:t>
      </w:r>
    </w:p>
    <w:p>
      <w:pPr>
        <w:pStyle w:val="ListParagraph"/>
        <w:numPr>
          <w:ilvl w:val="0"/>
          <w:numId w:val="1"/>
        </w:numPr>
        <w:spacing w:after="60"/>
      </w:pPr>
      <w:r>
        <w:t xml:space="preserve">Carte à formes (Shape map) : Montant Total Prêté par État américain</w:t>
      </w:r>
    </w:p>
    <w:p>
      <w:pPr>
        <w:pStyle w:val="ListParagraph"/>
        <w:numPr>
          <w:ilvl w:val="0"/>
          <w:numId w:val="1"/>
        </w:numPr>
        <w:spacing w:after="60"/>
      </w:pPr>
      <w:r>
        <w:t xml:space="preserve">Courbe : évolution mensuelle du Montant Total Prêté sur 2021</w:t>
      </w:r>
    </w:p>
    <w:p>
      <w:pPr>
        <w:pStyle w:val="ListParagraph"/>
        <w:numPr>
          <w:ilvl w:val="0"/>
          <w:numId w:val="1"/>
        </w:numPr>
        <w:spacing w:after="60"/>
      </w:pPr>
      <w:r>
        <w:t xml:space="preserve">Slicers : Année, Grade, Durée (TERM)</w:t>
      </w:r>
    </w:p>
    <w:p>
      <w:pPr>
        <w:pStyle w:val="Heading2"/>
        <w:spacing w:after="120" w:before="250"/>
      </w:pPr>
      <w:r>
        <w:t xml:space="preserve">8.2 Page 2 — Analyse du Risque</w:t>
      </w:r>
    </w:p>
    <w:p>
      <w:pPr>
        <w:spacing w:after="120"/>
      </w:pPr>
      <w:r>
        <w:t xml:space="preserve">Objectif : l'analyste risque identifie où se concentrent les défauts et pourquoi.</w:t>
      </w:r>
    </w:p>
    <w:p>
      <w:pPr>
        <w:pStyle w:val="ListParagraph"/>
        <w:numPr>
          <w:ilvl w:val="0"/>
          <w:numId w:val="1"/>
        </w:numPr>
        <w:spacing w:after="60"/>
      </w:pPr>
      <w:r>
        <w:t xml:space="preserve">Matrice Grade × Statut : 3 mesures dédiées (Taux Charged Off (Grade), Taux Fully Paid (Grade), Taux Current (Grade)) avec mise en forme conditionnelle indépendante par colonne (rouge / vert / neutre)</w:t>
      </w:r>
    </w:p>
    <w:p>
      <w:pPr>
        <w:pStyle w:val="ListParagraph"/>
        <w:numPr>
          <w:ilvl w:val="0"/>
          <w:numId w:val="1"/>
        </w:numPr>
        <w:spacing w:after="60"/>
      </w:pPr>
      <w:r>
        <w:t xml:space="preserve">Bar chart : Taux de Défaut par Objet du Prêt (PURPOSE)</w:t>
      </w:r>
    </w:p>
    <w:p>
      <w:pPr>
        <w:pStyle w:val="ListParagraph"/>
        <w:numPr>
          <w:ilvl w:val="0"/>
          <w:numId w:val="1"/>
        </w:numPr>
        <w:spacing w:after="60"/>
      </w:pPr>
      <w:r>
        <w:t xml:space="preserve">Scatter plot : DTI Moyen (axe X) vs Taux d'Intérêt Moyen (axe Y), légende LOAN_STATUS, détail par GRADE (21 points)</w:t>
      </w:r>
    </w:p>
    <w:p>
      <w:pPr>
        <w:pStyle w:val="ListParagraph"/>
        <w:numPr>
          <w:ilvl w:val="0"/>
          <w:numId w:val="1"/>
        </w:numPr>
        <w:spacing w:after="60"/>
      </w:pPr>
      <w:r>
        <w:t xml:space="preserve">Bar chart : Taux de Défaut par Statut de Vérification (VERIFICATION_STATUS)</w:t>
      </w:r>
    </w:p>
    <w:p>
      <w:pPr>
        <w:pStyle w:val="ListParagraph"/>
        <w:numPr>
          <w:ilvl w:val="0"/>
          <w:numId w:val="1"/>
        </w:numPr>
        <w:spacing w:after="60"/>
      </w:pPr>
      <w:r>
        <w:t xml:space="preserve">KPI : Montant en Défaut</w:t>
      </w:r>
    </w:p>
    <w:p>
      <w:pPr>
        <w:pStyle w:val="ListParagraph"/>
        <w:numPr>
          <w:ilvl w:val="0"/>
          <w:numId w:val="1"/>
        </w:numPr>
        <w:spacing w:after="60"/>
      </w:pPr>
      <w:r>
        <w:t xml:space="preserve">Bar chart : Taux de Défaut par Durée (TERM, 36 vs 60 mois)</w:t>
      </w:r>
    </w:p>
    <w:p>
      <w:pPr>
        <w:pStyle w:val="ListParagraph"/>
        <w:numPr>
          <w:ilvl w:val="0"/>
          <w:numId w:val="1"/>
        </w:numPr>
        <w:spacing w:after="60"/>
      </w:pPr>
      <w:r>
        <w:t xml:space="preserve">Slicers : Année, Grade, Durée</w:t>
      </w:r>
    </w:p>
    <w:p>
      <w:pPr>
        <w:pStyle w:val="Heading2"/>
        <w:spacing w:after="120" w:before="250"/>
      </w:pPr>
      <w:r>
        <w:t xml:space="preserve">8.3 Page 3 — Profil Emprunteur</w:t>
      </w:r>
    </w:p>
    <w:p>
      <w:pPr>
        <w:spacing w:after="120"/>
      </w:pPr>
      <w:r>
        <w:t xml:space="preserve">Objectif : segmenter les emprunteurs pour affiner la politique d'octroi.</w:t>
      </w:r>
    </w:p>
    <w:p>
      <w:pPr>
        <w:pStyle w:val="ListParagraph"/>
        <w:numPr>
          <w:ilvl w:val="0"/>
          <w:numId w:val="1"/>
        </w:numPr>
        <w:spacing w:after="60"/>
      </w:pPr>
      <w:r>
        <w:t xml:space="preserve">3 KPI Cards : Revenu Annuel Moyen, Revenu Médian, Montant Moyen par Prêt</w:t>
      </w:r>
    </w:p>
    <w:p>
      <w:pPr>
        <w:pStyle w:val="ListParagraph"/>
        <w:numPr>
          <w:ilvl w:val="0"/>
          <w:numId w:val="1"/>
        </w:numPr>
        <w:spacing w:after="60"/>
      </w:pPr>
      <w:r>
        <w:t xml:space="preserve">Bar chart : Nombre Total de Prêts par Statut de Propriété (HOME_OWNERSHIP) — lecture volume</w:t>
      </w:r>
    </w:p>
    <w:p>
      <w:pPr>
        <w:pStyle w:val="ListParagraph"/>
        <w:numPr>
          <w:ilvl w:val="0"/>
          <w:numId w:val="1"/>
        </w:numPr>
        <w:spacing w:after="60"/>
      </w:pPr>
      <w:r>
        <w:t xml:space="preserve">Bar chart : Taux de Défaut par Statut de Propriété — lecture risque</w:t>
      </w:r>
    </w:p>
    <w:p>
      <w:pPr>
        <w:pStyle w:val="ListParagraph"/>
        <w:numPr>
          <w:ilvl w:val="0"/>
          <w:numId w:val="1"/>
        </w:numPr>
        <w:spacing w:after="60"/>
      </w:pPr>
      <w:r>
        <w:t xml:space="preserve">Bar chart : Taux de Défaut par Ancienneté d'Emploi (EMP_LENGTH, trié via colonne EMP_LENGTH_TRI)</w:t>
      </w:r>
    </w:p>
    <w:p>
      <w:pPr>
        <w:pStyle w:val="ListParagraph"/>
        <w:numPr>
          <w:ilvl w:val="0"/>
          <w:numId w:val="1"/>
        </w:numPr>
        <w:spacing w:after="60"/>
      </w:pPr>
      <w:r>
        <w:t xml:space="preserve">Histogramme (regroupement natif par tranche de 10 000 $) : Distribution des Revenus Annuels, axe limité à 200 000 $ pour la lisibilité</w:t>
      </w:r>
    </w:p>
    <w:p>
      <w:pPr>
        <w:pStyle w:val="ListParagraph"/>
        <w:numPr>
          <w:ilvl w:val="0"/>
          <w:numId w:val="1"/>
        </w:numPr>
        <w:spacing w:after="60"/>
      </w:pPr>
      <w:r>
        <w:t xml:space="preserve">Table : Top 10 des métiers (EMP_TITLE) les plus représentés</w:t>
      </w:r>
    </w:p>
    <w:p>
      <w:pPr>
        <w:pStyle w:val="ListParagraph"/>
        <w:numPr>
          <w:ilvl w:val="0"/>
          <w:numId w:val="1"/>
        </w:numPr>
        <w:spacing w:after="60"/>
      </w:pPr>
      <w:r>
        <w:t xml:space="preserve">Slicers : Année, Grade, Statut de Propriété</w:t>
      </w:r>
    </w:p>
    <w:p>
      <w:pPr>
        <w:spacing w:after="120"/>
      </w:pPr>
      <w:r>
        <w:rPr>
          <w:i/>
          <w:iCs/>
        </w:rPr>
        <w:t xml:space="preserve">Écarts avec le plan initial : le Treemap prévu a été remplacé par une simple Table (plus lisible pour du texte libre classé) ; le Scatter Revenu vs Montant prêté et le Bar chart par INCOME_SEGMENT n'ont pas été construits, remplacés par l'histogramme de distribution des revenus, jugé plus riche.</w:t>
      </w:r>
    </w:p>
    <w:p>
      <w:pPr>
        <w:pStyle w:val="Heading2"/>
        <w:spacing w:after="120" w:before="250"/>
      </w:pPr>
      <w:r>
        <w:t xml:space="preserve">8.4 Page 4 — Évolution Temporelle</w:t>
      </w:r>
    </w:p>
    <w:p>
      <w:pPr>
        <w:spacing w:after="120"/>
      </w:pPr>
      <w:r>
        <w:t xml:space="preserve">Objectif : détecter les tendances et anomalies dans le temps, sur la seule année 2021 disponible.</w:t>
      </w:r>
    </w:p>
    <w:p>
      <w:pPr>
        <w:pStyle w:val="ListParagraph"/>
        <w:numPr>
          <w:ilvl w:val="0"/>
          <w:numId w:val="1"/>
        </w:numPr>
        <w:spacing w:after="60"/>
      </w:pPr>
      <w:r>
        <w:t xml:space="preserve">2 KPI Cards : Croissance Mensuelle, Montant Prêté Cumul Annuel</w:t>
      </w:r>
    </w:p>
    <w:p>
      <w:pPr>
        <w:pStyle w:val="ListParagraph"/>
        <w:numPr>
          <w:ilvl w:val="0"/>
          <w:numId w:val="1"/>
        </w:numPr>
        <w:spacing w:after="60"/>
      </w:pPr>
      <w:r>
        <w:t xml:space="preserve">Graphique combiné (colonnes + courbe) : Montant Total Prêté (colonnes) et Nombre Total de Prêts (courbe) par mois</w:t>
      </w:r>
    </w:p>
    <w:p>
      <w:pPr>
        <w:pStyle w:val="ListParagraph"/>
        <w:numPr>
          <w:ilvl w:val="0"/>
          <w:numId w:val="1"/>
        </w:numPr>
        <w:spacing w:after="60"/>
      </w:pPr>
      <w:r>
        <w:t xml:space="preserve">Courbe : Taux de Défaut mensuel</w:t>
      </w:r>
    </w:p>
    <w:p>
      <w:pPr>
        <w:pStyle w:val="ListParagraph"/>
        <w:numPr>
          <w:ilvl w:val="0"/>
          <w:numId w:val="1"/>
        </w:numPr>
        <w:spacing w:after="60"/>
      </w:pPr>
      <w:r>
        <w:t xml:space="preserve">Courbe : Montant Total Prêté vs Montant Remboursé (Date Dernier Paiement) par mois</w:t>
      </w:r>
    </w:p>
    <w:p>
      <w:pPr>
        <w:pStyle w:val="ListParagraph"/>
        <w:numPr>
          <w:ilvl w:val="0"/>
          <w:numId w:val="1"/>
        </w:numPr>
        <w:spacing w:after="60"/>
      </w:pPr>
      <w:r>
        <w:t xml:space="preserve">Colonnes : Différence M-1 (mise en forme conditionnelle par règles, vert si positif, rouge si négatif)</w:t>
      </w:r>
    </w:p>
    <w:p>
      <w:pPr>
        <w:pStyle w:val="ListParagraph"/>
        <w:numPr>
          <w:ilvl w:val="0"/>
          <w:numId w:val="1"/>
        </w:numPr>
        <w:spacing w:after="60"/>
      </w:pPr>
      <w:r>
        <w:t xml:space="preserve">Slicers : Année, Grade, Durée</w:t>
      </w:r>
    </w:p>
    <w:p>
      <w:pPr>
        <w:spacing w:after="120"/>
      </w:pPr>
      <w:r>
        <w:rPr>
          <w:i/>
          <w:iCs/>
        </w:rPr>
        <w:t xml:space="preserve">Écarts avec le plan initial : le Bar chart « volume par trimestre et année » et la Courbe « taux d'intérêt moyen mensuel » du plan d'origine n'ont pas été retenus, remplacés par les 2 visuels de flux financier (Prêté vs Remboursé, Différence M-1), jugés plus pertinents pour cette page une fois la limite réelle des données à une seule année confirmée.</w:t>
      </w:r>
    </w:p>
    <w:p>
      <w:pPr>
        <w:pStyle w:val="Heading1"/>
        <w:spacing w:after="150" w:before="300"/>
      </w:pPr>
      <w:r>
        <w:t xml:space="preserve">Résumé des actions à faire</w:t>
      </w:r>
    </w:p>
    <w:p>
      <w:pPr>
        <w:pStyle w:val="ListParagraph"/>
        <w:numPr>
          <w:ilvl w:val="0"/>
          <w:numId w:val="1"/>
        </w:numPr>
        <w:spacing w:after="60"/>
      </w:pPr>
      <w:r>
        <w:t xml:space="preserve">Remplacer le texte de la section 1.1 (période des données)</w:t>
      </w:r>
    </w:p>
    <w:p>
      <w:pPr>
        <w:pStyle w:val="ListParagraph"/>
        <w:numPr>
          <w:ilvl w:val="0"/>
          <w:numId w:val="1"/>
        </w:numPr>
        <w:spacing w:after="60"/>
      </w:pPr>
      <w:r>
        <w:t xml:space="preserve">Ajouter la note sur la table calendrier en fin de section 2.2</w:t>
      </w:r>
    </w:p>
    <w:p>
      <w:pPr>
        <w:pStyle w:val="ListParagraph"/>
        <w:numPr>
          <w:ilvl w:val="0"/>
          <w:numId w:val="1"/>
        </w:numPr>
        <w:spacing w:after="60"/>
      </w:pPr>
      <w:r>
        <w:t xml:space="preserve">Remplacer tous les noms de mesures anglais par leurs équivalents français (tableau section 3 de ce document)</w:t>
      </w:r>
    </w:p>
    <w:p>
      <w:pPr>
        <w:pStyle w:val="ListParagraph"/>
        <w:numPr>
          <w:ilvl w:val="0"/>
          <w:numId w:val="1"/>
        </w:numPr>
        <w:spacing w:after="60"/>
      </w:pPr>
      <w:r>
        <w:t xml:space="preserve">Corriger les 2 coquilles de pourcentage (« 14% % » et « 14%% »)</w:t>
      </w:r>
    </w:p>
    <w:p>
      <w:pPr>
        <w:pStyle w:val="ListParagraph"/>
        <w:numPr>
          <w:ilvl w:val="0"/>
          <w:numId w:val="1"/>
        </w:numPr>
        <w:spacing w:after="60"/>
      </w:pPr>
      <w:r>
        <w:t xml:space="preserve">Mettre à jour la formule Taux d'Intérêt Moyen (ajout du /100)</w:t>
      </w:r>
    </w:p>
    <w:p>
      <w:pPr>
        <w:pStyle w:val="ListParagraph"/>
        <w:numPr>
          <w:ilvl w:val="0"/>
          <w:numId w:val="1"/>
        </w:numPr>
        <w:spacing w:after="60"/>
      </w:pPr>
      <w:r>
        <w:t xml:space="preserve">Mettre à jour la formule Croissance Mensuelle (comparaison de mois entiers)</w:t>
      </w:r>
    </w:p>
    <w:p>
      <w:pPr>
        <w:pStyle w:val="ListParagraph"/>
        <w:numPr>
          <w:ilvl w:val="0"/>
          <w:numId w:val="1"/>
        </w:numPr>
        <w:spacing w:after="60"/>
      </w:pPr>
      <w:r>
        <w:t xml:space="preserve">Ajuster le texte de l'Insight 4 (fourchette réelle 11,6–15,1 %)</w:t>
      </w:r>
    </w:p>
    <w:p>
      <w:pPr>
        <w:pStyle w:val="ListParagraph"/>
        <w:numPr>
          <w:ilvl w:val="0"/>
          <w:numId w:val="1"/>
        </w:numPr>
        <w:spacing w:after="60"/>
      </w:pPr>
      <w:r>
        <w:t xml:space="preserve">Réécrire entièrement la Section 8 avec le contenu des 4 pages ci-dessus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2026-07-22T02:23:45.475Z</dcterms:created>
  <dcterms:modified xsi:type="dcterms:W3CDTF">2026-07-22T02:23:45.494Z</dcterms:modified>
</cp:coreProperties>
</file>

<file path=docProps/custom.xml><?xml version="1.0" encoding="utf-8"?>
<Properties xmlns="http://schemas.openxmlformats.org/officeDocument/2006/custom-properties" xmlns:vt="http://schemas.openxmlformats.org/officeDocument/2006/docPropsVTypes"/>
</file>