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CDD" w:rsidRDefault="00890CDD" w:rsidP="00543D42">
      <w:pPr>
        <w:spacing w:line="276" w:lineRule="auto"/>
      </w:pPr>
    </w:p>
    <w:p w:rsidR="00890CDD" w:rsidRDefault="00890CDD" w:rsidP="00543D42">
      <w:pPr>
        <w:spacing w:line="276" w:lineRule="auto"/>
      </w:pPr>
    </w:p>
    <w:p w:rsidR="00890CDD" w:rsidRDefault="00890CDD" w:rsidP="00543D42">
      <w:pPr>
        <w:spacing w:line="276" w:lineRule="auto"/>
      </w:pPr>
    </w:p>
    <w:p w:rsidR="00890CDD" w:rsidRDefault="00890CDD" w:rsidP="00543D42">
      <w:pPr>
        <w:spacing w:line="276" w:lineRule="auto"/>
        <w:jc w:val="center"/>
      </w:pPr>
    </w:p>
    <w:p w:rsidR="00890CDD" w:rsidRDefault="00890CDD" w:rsidP="00543D42">
      <w:pPr>
        <w:spacing w:line="276" w:lineRule="auto"/>
        <w:jc w:val="center"/>
      </w:pPr>
      <w:r>
        <w:t>Legislation and Business Environment</w:t>
      </w:r>
    </w:p>
    <w:p w:rsidR="00890CDD" w:rsidRDefault="00890CDD" w:rsidP="00543D42">
      <w:pPr>
        <w:spacing w:line="276" w:lineRule="auto"/>
        <w:jc w:val="center"/>
      </w:pPr>
      <w:r>
        <w:t>Name</w:t>
      </w:r>
    </w:p>
    <w:p w:rsidR="00890CDD" w:rsidRDefault="00890CDD" w:rsidP="00543D42">
      <w:pPr>
        <w:spacing w:line="276" w:lineRule="auto"/>
        <w:jc w:val="center"/>
      </w:pPr>
      <w:r>
        <w:t>Institution</w:t>
      </w:r>
    </w:p>
    <w:p w:rsidR="00890CDD" w:rsidRDefault="00890CDD" w:rsidP="00543D42">
      <w:pPr>
        <w:spacing w:line="276" w:lineRule="auto"/>
        <w:jc w:val="center"/>
      </w:pPr>
      <w:r>
        <w:t>Course</w:t>
      </w:r>
    </w:p>
    <w:p w:rsidR="00890CDD" w:rsidRDefault="00890CDD" w:rsidP="00543D42">
      <w:pPr>
        <w:spacing w:line="276" w:lineRule="auto"/>
        <w:jc w:val="center"/>
      </w:pPr>
      <w:r>
        <w:t>Instructor</w:t>
      </w:r>
    </w:p>
    <w:p w:rsidR="00890CDD" w:rsidRDefault="00890CDD" w:rsidP="00543D42">
      <w:pPr>
        <w:spacing w:line="276" w:lineRule="auto"/>
        <w:jc w:val="center"/>
      </w:pPr>
      <w:r>
        <w:t>Date</w:t>
      </w:r>
    </w:p>
    <w:p w:rsidR="00942B58" w:rsidRDefault="00942B58" w:rsidP="00543D42">
      <w:pPr>
        <w:spacing w:line="276" w:lineRule="auto"/>
        <w:jc w:val="center"/>
        <w:sectPr w:rsidR="00942B58" w:rsidSect="00543D42">
          <w:headerReference w:type="default" r:id="rId7"/>
          <w:pgSz w:w="12240" w:h="15840"/>
          <w:pgMar w:top="1440" w:right="1440" w:bottom="1440" w:left="1440" w:header="720" w:footer="720" w:gutter="0"/>
          <w:cols w:space="720"/>
          <w:docGrid w:linePitch="360"/>
        </w:sectPr>
      </w:pPr>
    </w:p>
    <w:p w:rsidR="00795C85" w:rsidRPr="0003462B" w:rsidRDefault="001D0809" w:rsidP="0003462B">
      <w:pPr>
        <w:spacing w:line="276" w:lineRule="auto"/>
        <w:jc w:val="center"/>
        <w:rPr>
          <w:b/>
        </w:rPr>
      </w:pPr>
      <w:r>
        <w:rPr>
          <w:b/>
        </w:rPr>
        <w:lastRenderedPageBreak/>
        <w:t>Summary</w:t>
      </w:r>
    </w:p>
    <w:p w:rsidR="003A70CE" w:rsidRDefault="00795C85" w:rsidP="0003462B">
      <w:pPr>
        <w:spacing w:line="276" w:lineRule="auto"/>
      </w:pPr>
      <w:r>
        <w:t xml:space="preserve">This paper </w:t>
      </w:r>
      <w:r w:rsidR="0003462B">
        <w:t>intends</w:t>
      </w:r>
      <w:r>
        <w:t xml:space="preserve"> to </w:t>
      </w:r>
      <w:r w:rsidR="0003462B">
        <w:t>review</w:t>
      </w:r>
      <w:r>
        <w:t xml:space="preserve"> the level to which the </w:t>
      </w:r>
      <w:r w:rsidR="0003462B">
        <w:t>parliament</w:t>
      </w:r>
      <w:r>
        <w:t xml:space="preserve"> </w:t>
      </w:r>
      <w:r w:rsidR="0003462B">
        <w:t>influences</w:t>
      </w:r>
      <w:r>
        <w:t xml:space="preserve"> societal practices, especially when it comes to the business environment.</w:t>
      </w:r>
      <w:r w:rsidR="003A70CE">
        <w:t xml:space="preserve"> As such, t</w:t>
      </w:r>
      <w:r w:rsidR="003A70CE">
        <w:t>he aim of this paper is to establish the various laws established by the parliament and how such laws have played a role in regulating the business society</w:t>
      </w:r>
      <w:r w:rsidR="003A70CE">
        <w:t xml:space="preserve">. A review of material from government databases pertaining to parliamentary roles, and other scholarly sources such as books and journals will allow for establishment of a distinctive view of the topic, and offer relevant information that will facilitate the achievement of a high quality paper. The APA format will be used to write the paper. </w:t>
      </w:r>
    </w:p>
    <w:p w:rsidR="0003462B" w:rsidRDefault="003A70CE" w:rsidP="0003462B">
      <w:pPr>
        <w:spacing w:line="276" w:lineRule="auto"/>
      </w:pPr>
      <w:r>
        <w:t xml:space="preserve">In the introduction section of the paper, the author will introduce the topic and offer an overview of the various areas that are to be covered throughout the paper. The body section will review </w:t>
      </w:r>
      <w:r w:rsidR="00795C85">
        <w:t>legislations passed by the parliament and their role in regulating business interactions across Australia.</w:t>
      </w:r>
      <w:r w:rsidR="0003462B">
        <w:t xml:space="preserve"> These laws will range from consumer protection laws, laws that govern business structuring, environmental protection laws, anti-discrimination laws, anti-terrorism laws, privacy laws, to laws against criminal activities in the business environment such as anti-fraud laws. </w:t>
      </w:r>
      <w:r>
        <w:t>T</w:t>
      </w:r>
      <w:r w:rsidR="0003462B">
        <w:t xml:space="preserve">he impact of this laws on the business relationships between businesses and individuals and businesses and other business will be elaborately discussed in this section. </w:t>
      </w:r>
      <w:r>
        <w:t xml:space="preserve">The author will conclude by </w:t>
      </w:r>
      <w:r w:rsidR="0003462B">
        <w:t>sum</w:t>
      </w:r>
      <w:r>
        <w:t>ming</w:t>
      </w:r>
      <w:r w:rsidR="0003462B">
        <w:t xml:space="preserve"> up the areas discussed throughout the paper and provid</w:t>
      </w:r>
      <w:r>
        <w:t>ing</w:t>
      </w:r>
      <w:r w:rsidR="0003462B">
        <w:t xml:space="preserve"> recommendations on how the parliament can further promote positive affect across the business society. </w:t>
      </w:r>
    </w:p>
    <w:p w:rsidR="0003462B" w:rsidRPr="00795C85" w:rsidRDefault="0003462B" w:rsidP="00795C85">
      <w:pPr>
        <w:spacing w:line="276" w:lineRule="auto"/>
      </w:pPr>
    </w:p>
    <w:p w:rsidR="00795C85" w:rsidRDefault="00795C85">
      <w:pPr>
        <w:rPr>
          <w:b/>
        </w:rPr>
      </w:pPr>
      <w:r>
        <w:rPr>
          <w:b/>
        </w:rPr>
        <w:br w:type="page"/>
      </w:r>
      <w:bookmarkStart w:id="0" w:name="_GoBack"/>
      <w:bookmarkEnd w:id="0"/>
    </w:p>
    <w:p w:rsidR="00890CDD" w:rsidRPr="001C65EF" w:rsidRDefault="00890CDD" w:rsidP="00543D42">
      <w:pPr>
        <w:spacing w:line="276" w:lineRule="auto"/>
        <w:jc w:val="center"/>
        <w:rPr>
          <w:b/>
        </w:rPr>
      </w:pPr>
      <w:r w:rsidRPr="001C65EF">
        <w:rPr>
          <w:b/>
        </w:rPr>
        <w:lastRenderedPageBreak/>
        <w:t>Introduction</w:t>
      </w:r>
    </w:p>
    <w:p w:rsidR="00890CDD" w:rsidRDefault="00890CDD" w:rsidP="00543D42">
      <w:pPr>
        <w:spacing w:line="276" w:lineRule="auto"/>
        <w:ind w:firstLine="720"/>
      </w:pPr>
      <w:r>
        <w:t xml:space="preserve">The parliament is a body responsible for making laws </w:t>
      </w:r>
      <w:r w:rsidR="00543D42">
        <w:t>within</w:t>
      </w:r>
      <w:r>
        <w:t xml:space="preserve"> the country. Legislation process is important since the outcome of these acts formed in the parliament have the effect on the society and business environment </w:t>
      </w:r>
      <w:r w:rsidR="00DB2C5B">
        <w:t>around</w:t>
      </w:r>
      <w:r>
        <w:t xml:space="preserve"> the country. A bill is a proposal for a change of law. If this proposal is presented to the parliament and is approved, it becomes an act. </w:t>
      </w:r>
      <w:r w:rsidR="00DB2C5B">
        <w:t>T</w:t>
      </w:r>
      <w:r>
        <w:t xml:space="preserve">his paper </w:t>
      </w:r>
      <w:r w:rsidR="00DB2C5B">
        <w:t>is</w:t>
      </w:r>
      <w:r>
        <w:t xml:space="preserve"> going to discuss parliamentary acts and how they affect the conduct of the society in areas of business transactions and interactions adve</w:t>
      </w:r>
      <w:r w:rsidR="00DB2C5B">
        <w:t>rsely. In the case of Australia,</w:t>
      </w:r>
      <w:r>
        <w:t xml:space="preserve"> </w:t>
      </w:r>
      <w:r w:rsidR="00DB2C5B">
        <w:t>e</w:t>
      </w:r>
      <w:r>
        <w:t xml:space="preserve">xamples of these acts </w:t>
      </w:r>
      <w:r w:rsidR="00DB2C5B">
        <w:t>include</w:t>
      </w:r>
      <w:r>
        <w:t xml:space="preserve"> Competition and Consumer Protection acts, Environmental Acts, Corporations Acts, Anti-terrorism Act, Work relations act, privacy laws and several Discrimination Acts. These acts capture different sectors in the society and directly or indirectly affect the business transactions and interactions. Parliamentary acts are relevant in any country since they regulate several activities in the country regarding business as </w:t>
      </w:r>
      <w:r w:rsidR="00DB2C5B">
        <w:t>it will be</w:t>
      </w:r>
      <w:r>
        <w:t xml:space="preserve"> explain</w:t>
      </w:r>
      <w:r w:rsidR="00DB2C5B">
        <w:t>ed</w:t>
      </w:r>
      <w:r>
        <w:t xml:space="preserve"> later on. </w:t>
      </w:r>
    </w:p>
    <w:p w:rsidR="00942B58" w:rsidRPr="001C65EF" w:rsidRDefault="00942B58" w:rsidP="00543D42">
      <w:pPr>
        <w:spacing w:line="276" w:lineRule="auto"/>
        <w:ind w:firstLine="720"/>
        <w:jc w:val="center"/>
        <w:rPr>
          <w:b/>
        </w:rPr>
      </w:pPr>
      <w:r w:rsidRPr="001C65EF">
        <w:rPr>
          <w:b/>
        </w:rPr>
        <w:t>The Role of Parliament in Regulating Society</w:t>
      </w:r>
    </w:p>
    <w:p w:rsidR="00890CDD" w:rsidRDefault="00890CDD" w:rsidP="00543D42">
      <w:pPr>
        <w:spacing w:line="276" w:lineRule="auto"/>
        <w:ind w:firstLine="720"/>
      </w:pPr>
      <w:r>
        <w:t>To begin with, the parliament protects the consumers f</w:t>
      </w:r>
      <w:r w:rsidR="00DB2C5B">
        <w:t>rom the unfair practices of business organizations.</w:t>
      </w:r>
      <w:r>
        <w:t xml:space="preserve"> </w:t>
      </w:r>
      <w:r w:rsidR="00DB2C5B">
        <w:t>I</w:t>
      </w:r>
      <w:r>
        <w:t>t also regulates how business</w:t>
      </w:r>
      <w:r w:rsidR="00DB2C5B">
        <w:t>es</w:t>
      </w:r>
      <w:r>
        <w:t xml:space="preserve"> interact to promote better trading between firms. </w:t>
      </w:r>
      <w:r w:rsidR="00DB2C5B">
        <w:t xml:space="preserve">In addition, parliament </w:t>
      </w:r>
      <w:r>
        <w:t>protects other business from unfair trading and prohibits the misuse of mo</w:t>
      </w:r>
      <w:r w:rsidR="002E6AD4">
        <w:t xml:space="preserve">nopoly power. An example of a legislation passed by </w:t>
      </w:r>
      <w:r>
        <w:t>the parliament is the Competition and Consumers Protection Act of 2010. This act states that through fair trading practices, fair competition and provision of consumer protection, the Australian welfare is enhanced. The law regulates the type of services delivered to the customers, explains the unfair market practices</w:t>
      </w:r>
      <w:r w:rsidR="002E6AD4">
        <w:t>,</w:t>
      </w:r>
      <w:r>
        <w:t xml:space="preserve"> and monitors the prices</w:t>
      </w:r>
      <w:r w:rsidR="00942B58">
        <w:t xml:space="preserve"> of the products</w:t>
      </w:r>
      <w:sdt>
        <w:sdtPr>
          <w:id w:val="1928151048"/>
          <w:citation/>
        </w:sdtPr>
        <w:sdtEndPr/>
        <w:sdtContent>
          <w:r w:rsidR="00942B58">
            <w:fldChar w:fldCharType="begin"/>
          </w:r>
          <w:r w:rsidR="00942B58">
            <w:instrText xml:space="preserve"> CITATION Aus16 \l 1033 </w:instrText>
          </w:r>
          <w:r w:rsidR="00942B58">
            <w:fldChar w:fldCharType="separate"/>
          </w:r>
          <w:r w:rsidR="00942B58">
            <w:rPr>
              <w:noProof/>
            </w:rPr>
            <w:t xml:space="preserve"> (Australian Competition and Consumer Commision, 2016)</w:t>
          </w:r>
          <w:r w:rsidR="00942B58">
            <w:fldChar w:fldCharType="end"/>
          </w:r>
        </w:sdtContent>
      </w:sdt>
      <w:r>
        <w:t xml:space="preserve">. It ensures that the goods produced by the businesses are of good standards so that the consumers can be satisfied. The act affects the conduct of companies since it creates a linkage to the user. Therefore, businesses in the country should have up to standard goods and should not </w:t>
      </w:r>
      <w:r w:rsidR="002E6AD4">
        <w:t>infringe</w:t>
      </w:r>
      <w:r>
        <w:t xml:space="preserve"> consumer</w:t>
      </w:r>
      <w:r w:rsidR="002E6AD4">
        <w:t xml:space="preserve"> rights</w:t>
      </w:r>
      <w:r>
        <w:t>. I</w:t>
      </w:r>
      <w:r w:rsidR="002E6AD4">
        <w:t>n case of increased complaints, businesses may be subject to legal liabilities among other devastating consequences such as reputational damage</w:t>
      </w:r>
      <w:sdt>
        <w:sdtPr>
          <w:id w:val="2087874302"/>
          <w:citation/>
        </w:sdtPr>
        <w:sdtEndPr/>
        <w:sdtContent>
          <w:r w:rsidR="001C65EF">
            <w:fldChar w:fldCharType="begin"/>
          </w:r>
          <w:r w:rsidR="001C65EF">
            <w:instrText xml:space="preserve"> CITATION Aus16 \l 1033 </w:instrText>
          </w:r>
          <w:r w:rsidR="001C65EF">
            <w:fldChar w:fldCharType="separate"/>
          </w:r>
          <w:r w:rsidR="001C65EF">
            <w:rPr>
              <w:noProof/>
            </w:rPr>
            <w:t xml:space="preserve"> (Australian Competition and Consumer Commision, 2016)</w:t>
          </w:r>
          <w:r w:rsidR="001C65EF">
            <w:fldChar w:fldCharType="end"/>
          </w:r>
        </w:sdtContent>
      </w:sdt>
      <w:r>
        <w:t xml:space="preserve">. Enterprises have to liaise with these act so as to be able to deliver the best to the consumers. In cases of non-satisfactory services or products to the consumers, the acts explain the areas of returns, refunds to customers, warranties, advertising, and marketing. </w:t>
      </w:r>
    </w:p>
    <w:p w:rsidR="00890CDD" w:rsidRDefault="00890CDD" w:rsidP="001C65EF">
      <w:pPr>
        <w:spacing w:line="276" w:lineRule="auto"/>
        <w:ind w:firstLine="720"/>
      </w:pPr>
      <w:r>
        <w:t xml:space="preserve">Secondly, the Parliament controls how business entities in Australia should be structured and how they should be formed. An example of </w:t>
      </w:r>
      <w:r w:rsidR="002E6AD4">
        <w:t>an</w:t>
      </w:r>
      <w:r>
        <w:t xml:space="preserve"> act that regulates the corporations is the Corporations Act of 2001</w:t>
      </w:r>
      <w:sdt>
        <w:sdtPr>
          <w:id w:val="-1888473704"/>
          <w:citation/>
        </w:sdtPr>
        <w:sdtEndPr/>
        <w:sdtContent>
          <w:r w:rsidR="001C65EF">
            <w:fldChar w:fldCharType="begin"/>
          </w:r>
          <w:r w:rsidR="001C65EF">
            <w:instrText xml:space="preserve"> CITATION Rog11 \l 1033 </w:instrText>
          </w:r>
          <w:r w:rsidR="001C65EF">
            <w:fldChar w:fldCharType="separate"/>
          </w:r>
          <w:r w:rsidR="001C65EF">
            <w:rPr>
              <w:noProof/>
            </w:rPr>
            <w:t xml:space="preserve"> (Vickery &amp; Flood, 2011)</w:t>
          </w:r>
          <w:r w:rsidR="001C65EF">
            <w:fldChar w:fldCharType="end"/>
          </w:r>
        </w:sdtContent>
      </w:sdt>
      <w:r>
        <w:t xml:space="preserve">. The act </w:t>
      </w:r>
      <w:r w:rsidR="00CA7251">
        <w:t>establishes</w:t>
      </w:r>
      <w:r>
        <w:t xml:space="preserve"> regulations and laws that deal with any business entities in Australia at any level. It explains the relationship in partnership entities and investment schemes. It describes the formation procedures and how the companies operate, the duties of officers and issues with takeovers. Corporations in the Australia have to follow these guidelines provided by the Corporations Act of 2001 to be accredited as a business entity. Small businesses in Australia </w:t>
      </w:r>
      <w:r w:rsidR="00CA7251">
        <w:t>are expected to</w:t>
      </w:r>
      <w:r>
        <w:t xml:space="preserve"> be able to adhere to the corporation law to be registered </w:t>
      </w:r>
      <w:r w:rsidR="00CA7251">
        <w:t xml:space="preserve">by the Australian government.  </w:t>
      </w:r>
      <w:r>
        <w:t xml:space="preserve">The parliament also regulates the environment </w:t>
      </w:r>
      <w:r w:rsidR="00CA7251">
        <w:t xml:space="preserve">in relation to the </w:t>
      </w:r>
      <w:r>
        <w:t xml:space="preserve">businesses </w:t>
      </w:r>
      <w:r w:rsidR="00CA7251">
        <w:t xml:space="preserve">operations </w:t>
      </w:r>
      <w:r>
        <w:t xml:space="preserve">through environmental acts. They also protect the society from environmental hazards </w:t>
      </w:r>
      <w:r w:rsidR="00CA7251">
        <w:t>caused by</w:t>
      </w:r>
      <w:r>
        <w:t xml:space="preserve"> firms in the country. An example of the environmental law is the Environment Protection and Biodiversity </w:t>
      </w:r>
      <w:r>
        <w:lastRenderedPageBreak/>
        <w:t>Conservation Act 1999, which states that the environment should be protected and managed efficiently.</w:t>
      </w:r>
      <w:r w:rsidR="00B858FC">
        <w:t xml:space="preserve"> </w:t>
      </w:r>
      <w:r>
        <w:t>In Queensland</w:t>
      </w:r>
      <w:r w:rsidR="00B858FC">
        <w:t>’s case, t</w:t>
      </w:r>
      <w:r>
        <w:t xml:space="preserve">he Environment Protection Act </w:t>
      </w:r>
      <w:r w:rsidR="00B858FC">
        <w:t>formulated in</w:t>
      </w:r>
      <w:r>
        <w:t xml:space="preserve"> 1994 </w:t>
      </w:r>
      <w:r w:rsidR="00B858FC">
        <w:t>protects against environmental harm, with members of the public required to report any activities that may be deemed to be detrimental to the environment</w:t>
      </w:r>
      <w:sdt>
        <w:sdtPr>
          <w:id w:val="-1137182697"/>
          <w:citation/>
        </w:sdtPr>
        <w:sdtEndPr/>
        <w:sdtContent>
          <w:r w:rsidR="00B858FC">
            <w:fldChar w:fldCharType="begin"/>
          </w:r>
          <w:r w:rsidR="00B858FC">
            <w:instrText xml:space="preserve"> CITATION Que161 \l 1033 </w:instrText>
          </w:r>
          <w:r w:rsidR="00B858FC">
            <w:fldChar w:fldCharType="separate"/>
          </w:r>
          <w:r w:rsidR="00B858FC">
            <w:rPr>
              <w:noProof/>
            </w:rPr>
            <w:t xml:space="preserve"> (Queenland Government, 2016)</w:t>
          </w:r>
          <w:r w:rsidR="00B858FC">
            <w:fldChar w:fldCharType="end"/>
          </w:r>
        </w:sdtContent>
      </w:sdt>
      <w:r w:rsidR="00B858FC">
        <w:t>.</w:t>
      </w:r>
      <w:r w:rsidR="001C65EF">
        <w:t xml:space="preserve"> </w:t>
      </w:r>
      <w:r>
        <w:t>The parliament provides ground for equality and fair treatment of workers in the business climate</w:t>
      </w:r>
      <w:r w:rsidR="00B858FC">
        <w:t>.</w:t>
      </w:r>
      <w:r>
        <w:t xml:space="preserve"> </w:t>
      </w:r>
      <w:r w:rsidR="00B858FC">
        <w:t>T</w:t>
      </w:r>
      <w:r>
        <w:t>he house comes up with acts that promote equal treatment of employees in the workplaces</w:t>
      </w:r>
      <w:r w:rsidR="00B858FC">
        <w:t xml:space="preserve">. Such laws have played a major role in minimizing </w:t>
      </w:r>
      <w:r w:rsidR="001C65EF">
        <w:t>cases</w:t>
      </w:r>
      <w:r w:rsidR="00B858FC">
        <w:t xml:space="preserve"> of discrimination on the basis of ethnicity, race, sexual </w:t>
      </w:r>
      <w:r w:rsidR="001C65EF">
        <w:t>orientation</w:t>
      </w:r>
      <w:r w:rsidR="00B858FC">
        <w:t xml:space="preserve">, nation of origin, and gender among others, in the </w:t>
      </w:r>
      <w:r w:rsidR="001C65EF">
        <w:t>workplace</w:t>
      </w:r>
      <w:r w:rsidR="00B858FC">
        <w:t xml:space="preserve">. </w:t>
      </w:r>
      <w:r>
        <w:t xml:space="preserve"> </w:t>
      </w:r>
      <w:r w:rsidR="008A6C76">
        <w:t xml:space="preserve">Some of the laws that have been </w:t>
      </w:r>
      <w:r w:rsidR="001C65EF">
        <w:t>established</w:t>
      </w:r>
      <w:r w:rsidR="008A6C76">
        <w:t xml:space="preserve"> by the </w:t>
      </w:r>
      <w:r w:rsidR="001C65EF">
        <w:t>parliament</w:t>
      </w:r>
      <w:r w:rsidR="008A6C76">
        <w:t xml:space="preserve"> to this effect include the </w:t>
      </w:r>
      <w:r>
        <w:t>Workplace Relations Amendment (Work Ch</w:t>
      </w:r>
      <w:r w:rsidR="008A6C76">
        <w:t xml:space="preserve">oices) Act 2005, the </w:t>
      </w:r>
      <w:r>
        <w:t>Fair Work Act 2009</w:t>
      </w:r>
      <w:r w:rsidR="008A6C76">
        <w:t>,</w:t>
      </w:r>
      <w:r>
        <w:t xml:space="preserve"> and </w:t>
      </w:r>
      <w:r w:rsidR="008A6C76">
        <w:t>the Age Discrimination Act 2004</w:t>
      </w:r>
      <w:sdt>
        <w:sdtPr>
          <w:id w:val="-574829207"/>
          <w:citation/>
        </w:sdtPr>
        <w:sdtEndPr/>
        <w:sdtContent>
          <w:r w:rsidR="001C65EF">
            <w:fldChar w:fldCharType="begin"/>
          </w:r>
          <w:r w:rsidR="001C65EF">
            <w:instrText xml:space="preserve"> CITATION Rog11 \l 1033 </w:instrText>
          </w:r>
          <w:r w:rsidR="001C65EF">
            <w:fldChar w:fldCharType="separate"/>
          </w:r>
          <w:r w:rsidR="001C65EF">
            <w:rPr>
              <w:noProof/>
            </w:rPr>
            <w:t xml:space="preserve"> (Vickery &amp; Flood, 2011)</w:t>
          </w:r>
          <w:r w:rsidR="001C65EF">
            <w:fldChar w:fldCharType="end"/>
          </w:r>
        </w:sdtContent>
      </w:sdt>
      <w:r>
        <w:t xml:space="preserve">.  </w:t>
      </w:r>
    </w:p>
    <w:p w:rsidR="00890CDD" w:rsidRDefault="00890CDD" w:rsidP="001C65EF">
      <w:pPr>
        <w:spacing w:line="276" w:lineRule="auto"/>
        <w:ind w:firstLine="720"/>
      </w:pPr>
      <w:r>
        <w:t xml:space="preserve">Parliament also protects the society from acts of terrorism through the formulation of the Anti-Terrorism </w:t>
      </w:r>
      <w:r w:rsidR="00543D42">
        <w:t xml:space="preserve">laws such as the Anti-Terrorism </w:t>
      </w:r>
      <w:r>
        <w:t>Act of 2005</w:t>
      </w:r>
      <w:sdt>
        <w:sdtPr>
          <w:id w:val="-876235559"/>
          <w:citation/>
        </w:sdtPr>
        <w:sdtEndPr/>
        <w:sdtContent>
          <w:r w:rsidR="00DB2C5B">
            <w:fldChar w:fldCharType="begin"/>
          </w:r>
          <w:r w:rsidR="00DB2C5B">
            <w:instrText xml:space="preserve"> CITATION Mul11 \l 1033 </w:instrText>
          </w:r>
          <w:r w:rsidR="00DB2C5B">
            <w:fldChar w:fldCharType="separate"/>
          </w:r>
          <w:r w:rsidR="00DB2C5B">
            <w:rPr>
              <w:noProof/>
            </w:rPr>
            <w:t xml:space="preserve"> (Mullins, 2011)</w:t>
          </w:r>
          <w:r w:rsidR="00DB2C5B">
            <w:fldChar w:fldCharType="end"/>
          </w:r>
        </w:sdtContent>
      </w:sdt>
      <w:r>
        <w:t>. This law protect</w:t>
      </w:r>
      <w:r w:rsidR="008A6C76">
        <w:t>s</w:t>
      </w:r>
      <w:r>
        <w:t xml:space="preserve"> Australia from terrorism acts and prevent</w:t>
      </w:r>
      <w:r w:rsidR="008A6C76">
        <w:t>s</w:t>
      </w:r>
      <w:r>
        <w:t xml:space="preserve"> terrorist</w:t>
      </w:r>
      <w:r w:rsidR="008A6C76">
        <w:t xml:space="preserve">s from getting into the country. It has also </w:t>
      </w:r>
      <w:r w:rsidR="001C65EF">
        <w:t>facilitated</w:t>
      </w:r>
      <w:r w:rsidR="008A6C76">
        <w:t xml:space="preserve"> </w:t>
      </w:r>
      <w:r w:rsidR="001C65EF">
        <w:t>the</w:t>
      </w:r>
      <w:r w:rsidR="008A6C76">
        <w:t xml:space="preserve"> process through which tools that identify, prosecute, </w:t>
      </w:r>
      <w:r>
        <w:t>convict and punish terrorists</w:t>
      </w:r>
      <w:r w:rsidR="008A6C76">
        <w:t xml:space="preserve"> are </w:t>
      </w:r>
      <w:r w:rsidR="001C65EF">
        <w:t>developed</w:t>
      </w:r>
      <w:r>
        <w:t xml:space="preserve">. </w:t>
      </w:r>
      <w:r w:rsidR="008A6C76">
        <w:t xml:space="preserve">The law also allows </w:t>
      </w:r>
      <w:r>
        <w:t xml:space="preserve">Australia </w:t>
      </w:r>
      <w:r w:rsidR="008A6C76">
        <w:t>to effectively</w:t>
      </w:r>
      <w:r>
        <w:t xml:space="preserve"> work with the international community </w:t>
      </w:r>
      <w:r w:rsidR="008A6C76">
        <w:t>in</w:t>
      </w:r>
      <w:r>
        <w:t xml:space="preserve"> fight</w:t>
      </w:r>
      <w:r w:rsidR="008A6C76">
        <w:t>ing</w:t>
      </w:r>
      <w:r>
        <w:t xml:space="preserve"> terrorism. </w:t>
      </w:r>
      <w:r w:rsidR="008A6C76">
        <w:t>It</w:t>
      </w:r>
      <w:r w:rsidR="001C65EF">
        <w:t xml:space="preserve"> is important</w:t>
      </w:r>
      <w:r w:rsidR="008A6C76">
        <w:t xml:space="preserve"> to </w:t>
      </w:r>
      <w:r w:rsidR="001C65EF">
        <w:t>note</w:t>
      </w:r>
      <w:r w:rsidR="008A6C76">
        <w:t xml:space="preserve"> that t</w:t>
      </w:r>
      <w:r>
        <w:t xml:space="preserve">errorism </w:t>
      </w:r>
      <w:r w:rsidR="008A6C76">
        <w:t xml:space="preserve">has devastating effects for businesses including loss of property, loss increased cost of production, and increased </w:t>
      </w:r>
      <w:r w:rsidR="001C65EF">
        <w:t>investor</w:t>
      </w:r>
      <w:r w:rsidR="008A6C76">
        <w:t xml:space="preserve"> risk, among </w:t>
      </w:r>
      <w:r w:rsidR="001C65EF">
        <w:t>other</w:t>
      </w:r>
      <w:r w:rsidR="008A6C76">
        <w:t xml:space="preserve"> </w:t>
      </w:r>
      <w:r w:rsidR="001C65EF">
        <w:t>factors</w:t>
      </w:r>
      <w:r w:rsidR="008A6C76">
        <w:t xml:space="preserve">. As a result of the effectiveness of these laws, </w:t>
      </w:r>
      <w:r>
        <w:t>Australia</w:t>
      </w:r>
      <w:r w:rsidR="008A6C76">
        <w:t xml:space="preserve"> has experienced low </w:t>
      </w:r>
      <w:r w:rsidR="001C65EF">
        <w:t>cases</w:t>
      </w:r>
      <w:r w:rsidR="008A6C76">
        <w:t xml:space="preserve"> of terrorism as compared to other countries</w:t>
      </w:r>
      <w:sdt>
        <w:sdtPr>
          <w:id w:val="-1495949850"/>
          <w:citation/>
        </w:sdtPr>
        <w:sdtEndPr/>
        <w:sdtContent>
          <w:r w:rsidR="00DB2C5B">
            <w:fldChar w:fldCharType="begin"/>
          </w:r>
          <w:r w:rsidR="00DB2C5B">
            <w:instrText xml:space="preserve"> CITATION Mul11 \l 1033 </w:instrText>
          </w:r>
          <w:r w:rsidR="00DB2C5B">
            <w:fldChar w:fldCharType="separate"/>
          </w:r>
          <w:r w:rsidR="00DB2C5B">
            <w:rPr>
              <w:noProof/>
            </w:rPr>
            <w:t xml:space="preserve"> (Mullins, 2011)</w:t>
          </w:r>
          <w:r w:rsidR="00DB2C5B">
            <w:fldChar w:fldCharType="end"/>
          </w:r>
        </w:sdtContent>
      </w:sdt>
      <w:r w:rsidR="001C65EF">
        <w:t>.</w:t>
      </w:r>
      <w:r>
        <w:t xml:space="preserve">The Parliament also </w:t>
      </w:r>
      <w:r w:rsidR="00491235">
        <w:t>puts</w:t>
      </w:r>
      <w:r>
        <w:t xml:space="preserve"> into consideration how the private information of individuals and businesses </w:t>
      </w:r>
      <w:r w:rsidR="002551A1">
        <w:t>is</w:t>
      </w:r>
      <w:r>
        <w:t xml:space="preserve"> handled. </w:t>
      </w:r>
      <w:r w:rsidR="002551A1">
        <w:t>As such, t</w:t>
      </w:r>
      <w:r>
        <w:t>he parliament has come up with the</w:t>
      </w:r>
      <w:r w:rsidR="002551A1">
        <w:t xml:space="preserve"> laws to protect privacy of information, including the </w:t>
      </w:r>
      <w:r>
        <w:t>Privacy Act of 1988</w:t>
      </w:r>
      <w:sdt>
        <w:sdtPr>
          <w:id w:val="-434825600"/>
          <w:citation/>
        </w:sdtPr>
        <w:sdtEndPr/>
        <w:sdtContent>
          <w:r w:rsidR="001C65EF">
            <w:fldChar w:fldCharType="begin"/>
          </w:r>
          <w:r w:rsidR="001C65EF">
            <w:instrText xml:space="preserve"> CITATION Rog11 \l 1033 </w:instrText>
          </w:r>
          <w:r w:rsidR="001C65EF">
            <w:fldChar w:fldCharType="separate"/>
          </w:r>
          <w:r w:rsidR="001C65EF">
            <w:rPr>
              <w:noProof/>
            </w:rPr>
            <w:t xml:space="preserve"> (Vickery &amp; Flood, 2011)</w:t>
          </w:r>
          <w:r w:rsidR="001C65EF">
            <w:fldChar w:fldCharType="end"/>
          </w:r>
        </w:sdtContent>
      </w:sdt>
      <w:r>
        <w:t>. The Act defines personal information as information or an opinion that is either true or false, recorded or not</w:t>
      </w:r>
      <w:r w:rsidR="002551A1">
        <w:t>,</w:t>
      </w:r>
      <w:r>
        <w:t xml:space="preserve"> about a known individual or an individual who is reasonably identifiable. The common information </w:t>
      </w:r>
      <w:r w:rsidR="002551A1">
        <w:t xml:space="preserve">in this case may include </w:t>
      </w:r>
      <w:r>
        <w:t>names, address</w:t>
      </w:r>
      <w:r w:rsidR="002551A1">
        <w:t>es</w:t>
      </w:r>
      <w:r>
        <w:t>, mobile phone numbers, date of birth, bank details, medical records</w:t>
      </w:r>
      <w:r w:rsidR="002551A1">
        <w:t>,</w:t>
      </w:r>
      <w:r>
        <w:t xml:space="preserve"> and so on. In terms businesses the Privacy Act regulates</w:t>
      </w:r>
      <w:r w:rsidR="002551A1">
        <w:t xml:space="preserve"> the consumer credit reporting </w:t>
      </w:r>
      <w:r>
        <w:t>in the country. The health records are regarded as the most important in the Australia, and the act provides protections around its handling. For example, all organizations that offer medical services should provide the client with a consent before they collect any medical</w:t>
      </w:r>
      <w:r w:rsidR="002551A1">
        <w:t xml:space="preserve"> information from the customer</w:t>
      </w:r>
      <w:sdt>
        <w:sdtPr>
          <w:id w:val="1099762054"/>
          <w:citation/>
        </w:sdtPr>
        <w:sdtEndPr/>
        <w:sdtContent>
          <w:r w:rsidR="002551A1">
            <w:fldChar w:fldCharType="begin"/>
          </w:r>
          <w:r w:rsidR="002551A1">
            <w:instrText xml:space="preserve"> CITATION Aus161 \l 1033 </w:instrText>
          </w:r>
          <w:r w:rsidR="002551A1">
            <w:fldChar w:fldCharType="separate"/>
          </w:r>
          <w:r w:rsidR="002551A1">
            <w:rPr>
              <w:noProof/>
            </w:rPr>
            <w:t xml:space="preserve"> (Australian Government, 2016)</w:t>
          </w:r>
          <w:r w:rsidR="002551A1">
            <w:fldChar w:fldCharType="end"/>
          </w:r>
        </w:sdtContent>
      </w:sdt>
      <w:r w:rsidR="002551A1">
        <w:t>.</w:t>
      </w:r>
    </w:p>
    <w:p w:rsidR="00890CDD" w:rsidRDefault="00890CDD" w:rsidP="006068CE">
      <w:pPr>
        <w:spacing w:line="276" w:lineRule="auto"/>
        <w:ind w:firstLine="720"/>
      </w:pPr>
      <w:r>
        <w:t xml:space="preserve">The parliament also </w:t>
      </w:r>
      <w:r w:rsidR="002551A1">
        <w:t xml:space="preserve">ensures credibility in the business environment by establishing laws against criminal activities including the </w:t>
      </w:r>
      <w:r>
        <w:t xml:space="preserve">corruption, fraud, theft, and deceit </w:t>
      </w:r>
      <w:r w:rsidR="002551A1">
        <w:t>of</w:t>
      </w:r>
      <w:r>
        <w:t xml:space="preserve"> consumers</w:t>
      </w:r>
      <w:sdt>
        <w:sdtPr>
          <w:id w:val="-1798057670"/>
          <w:citation/>
        </w:sdtPr>
        <w:sdtEndPr/>
        <w:sdtContent>
          <w:r w:rsidR="002551A1">
            <w:fldChar w:fldCharType="begin"/>
          </w:r>
          <w:r w:rsidR="002551A1">
            <w:instrText xml:space="preserve"> CITATION Got10 \l 1033 </w:instrText>
          </w:r>
          <w:r w:rsidR="002551A1">
            <w:fldChar w:fldCharType="separate"/>
          </w:r>
          <w:r w:rsidR="002551A1">
            <w:rPr>
              <w:noProof/>
            </w:rPr>
            <w:t xml:space="preserve"> (Gottschalk, 2010)</w:t>
          </w:r>
          <w:r w:rsidR="002551A1">
            <w:fldChar w:fldCharType="end"/>
          </w:r>
        </w:sdtContent>
      </w:sdt>
      <w:r>
        <w:t xml:space="preserve">. These laws try to </w:t>
      </w:r>
      <w:r w:rsidR="002551A1">
        <w:t>promote honesty within the business environment</w:t>
      </w:r>
      <w:r>
        <w:t>. The Australian government does not allow practices of corruption</w:t>
      </w:r>
      <w:r w:rsidR="002551A1">
        <w:t xml:space="preserve"> as corruption is understood to undermine </w:t>
      </w:r>
      <w:r>
        <w:t xml:space="preserve">the growth of small businesses and </w:t>
      </w:r>
      <w:r w:rsidR="002551A1">
        <w:t xml:space="preserve">to facilitate </w:t>
      </w:r>
      <w:r>
        <w:t xml:space="preserve">the poor development of the economy in the country as well. Therefore, some rules and regulations </w:t>
      </w:r>
      <w:r w:rsidR="002551A1">
        <w:t xml:space="preserve">outline the </w:t>
      </w:r>
      <w:r>
        <w:t>punish</w:t>
      </w:r>
      <w:r w:rsidR="002551A1">
        <w:t xml:space="preserve">ment of </w:t>
      </w:r>
      <w:r>
        <w:t xml:space="preserve">cases of corruption and fraud. The parliament protects businesses from these immoral societal activities by punishing the practices by </w:t>
      </w:r>
      <w:r w:rsidR="002551A1">
        <w:t xml:space="preserve">either </w:t>
      </w:r>
      <w:r>
        <w:t xml:space="preserve">incarceration of fines. The legislature came up with The Punishment of Offences Act </w:t>
      </w:r>
      <w:r w:rsidR="002551A1">
        <w:t>in</w:t>
      </w:r>
      <w:r>
        <w:t xml:space="preserve"> 2001, which explains the punishment of crimes against the acts of Parliament that occur in the business environment. The act also defines the procedures of arrest and the punishment of the respective crimes</w:t>
      </w:r>
      <w:sdt>
        <w:sdtPr>
          <w:id w:val="1239904977"/>
          <w:citation/>
        </w:sdtPr>
        <w:sdtEndPr/>
        <w:sdtContent>
          <w:r w:rsidR="00543D42">
            <w:fldChar w:fldCharType="begin"/>
          </w:r>
          <w:r w:rsidR="00543D42">
            <w:instrText xml:space="preserve"> CITATION Got10 \l 1033 </w:instrText>
          </w:r>
          <w:r w:rsidR="00543D42">
            <w:fldChar w:fldCharType="separate"/>
          </w:r>
          <w:r w:rsidR="00543D42">
            <w:rPr>
              <w:noProof/>
            </w:rPr>
            <w:t xml:space="preserve"> (Gottschalk, 2010)</w:t>
          </w:r>
          <w:r w:rsidR="00543D42">
            <w:fldChar w:fldCharType="end"/>
          </w:r>
        </w:sdtContent>
      </w:sdt>
      <w:r>
        <w:t>.</w:t>
      </w:r>
      <w:r w:rsidR="006068CE">
        <w:t xml:space="preserve"> </w:t>
      </w:r>
      <w:r>
        <w:t xml:space="preserve">The parliament has </w:t>
      </w:r>
      <w:r w:rsidR="006068CE">
        <w:t xml:space="preserve">also </w:t>
      </w:r>
      <w:r>
        <w:t xml:space="preserve">come up with laws that promote unity and peace in the society, hence, the better environment for business activities. </w:t>
      </w:r>
      <w:r w:rsidR="006068CE">
        <w:t xml:space="preserve">Case in point, the Justices of the Peace </w:t>
      </w:r>
      <w:r w:rsidR="006068CE">
        <w:lastRenderedPageBreak/>
        <w:t>Act of 2005, was formed to create clear roles and duties of the Justices in South Australia. It explains the importance of recognizing the court as a place to sought out justice and peace</w:t>
      </w:r>
      <w:sdt>
        <w:sdtPr>
          <w:id w:val="-270942990"/>
          <w:citation/>
        </w:sdtPr>
        <w:sdtEndPr/>
        <w:sdtContent>
          <w:r w:rsidR="001C65EF">
            <w:fldChar w:fldCharType="begin"/>
          </w:r>
          <w:r w:rsidR="001C65EF">
            <w:instrText xml:space="preserve"> CITATION Rog11 \l 1033 </w:instrText>
          </w:r>
          <w:r w:rsidR="001C65EF">
            <w:fldChar w:fldCharType="separate"/>
          </w:r>
          <w:r w:rsidR="001C65EF">
            <w:rPr>
              <w:noProof/>
            </w:rPr>
            <w:t xml:space="preserve"> (Vickery &amp; Flood, 2011)</w:t>
          </w:r>
          <w:r w:rsidR="001C65EF">
            <w:fldChar w:fldCharType="end"/>
          </w:r>
        </w:sdtContent>
      </w:sdt>
      <w:r w:rsidR="006068CE">
        <w:t>. Members of parliament, as leaders, play a major role as the ambassadors of peace and unity in the country.</w:t>
      </w:r>
      <w:r>
        <w:t xml:space="preserve"> In any business interactions, if there is a disagreement </w:t>
      </w:r>
      <w:r w:rsidR="006068CE">
        <w:t>or</w:t>
      </w:r>
      <w:r>
        <w:t xml:space="preserve"> a case of unfair trading</w:t>
      </w:r>
      <w:r w:rsidR="006068CE">
        <w:t>,</w:t>
      </w:r>
      <w:r>
        <w:t xml:space="preserve"> the </w:t>
      </w:r>
      <w:r w:rsidR="006068CE">
        <w:t xml:space="preserve">law provides that the conflict is taken to court to allow for arrival at an amicable solution for both parties. </w:t>
      </w:r>
      <w:r>
        <w:t xml:space="preserve">Every business is also advised to have a lawyer or an attorney to battle for their cases in the court. </w:t>
      </w:r>
    </w:p>
    <w:p w:rsidR="00942B58" w:rsidRPr="001C65EF" w:rsidRDefault="00942B58" w:rsidP="00543D42">
      <w:pPr>
        <w:spacing w:line="276" w:lineRule="auto"/>
        <w:jc w:val="center"/>
        <w:rPr>
          <w:b/>
        </w:rPr>
      </w:pPr>
      <w:r w:rsidRPr="001C65EF">
        <w:rPr>
          <w:b/>
        </w:rPr>
        <w:t>Conclusion</w:t>
      </w:r>
    </w:p>
    <w:p w:rsidR="00890CDD" w:rsidRDefault="00942B58" w:rsidP="00543D42">
      <w:pPr>
        <w:spacing w:line="276" w:lineRule="auto"/>
        <w:ind w:firstLine="720"/>
      </w:pPr>
      <w:r>
        <w:t xml:space="preserve">It is evident that </w:t>
      </w:r>
      <w:r w:rsidR="00890CDD">
        <w:t>the parliament</w:t>
      </w:r>
      <w:r>
        <w:t>,</w:t>
      </w:r>
      <w:r w:rsidR="00890CDD">
        <w:t xml:space="preserve"> being the </w:t>
      </w:r>
      <w:r w:rsidR="006068CE">
        <w:t>legislation organ</w:t>
      </w:r>
      <w:r w:rsidR="00890CDD">
        <w:t xml:space="preserve"> in the land</w:t>
      </w:r>
      <w:r>
        <w:t>,</w:t>
      </w:r>
      <w:r w:rsidR="00890CDD">
        <w:t xml:space="preserve"> regulates the societal business environment through the formation of these </w:t>
      </w:r>
      <w:r w:rsidR="006068CE">
        <w:t>laws</w:t>
      </w:r>
      <w:r w:rsidR="00890CDD">
        <w:t>. The legislature protects consumers and the business entities</w:t>
      </w:r>
      <w:r w:rsidR="006068CE">
        <w:t>. I</w:t>
      </w:r>
      <w:r w:rsidR="00890CDD">
        <w:t xml:space="preserve">t regulates environmental measures for companies to carry on </w:t>
      </w:r>
      <w:r w:rsidR="006068CE">
        <w:t xml:space="preserve">with their activities </w:t>
      </w:r>
      <w:r w:rsidR="00890CDD">
        <w:t xml:space="preserve">effectively. </w:t>
      </w:r>
      <w:r w:rsidR="006068CE">
        <w:t>In addition</w:t>
      </w:r>
      <w:r w:rsidR="00890CDD">
        <w:t xml:space="preserve">, the </w:t>
      </w:r>
      <w:r w:rsidR="006068CE">
        <w:t xml:space="preserve">parliament </w:t>
      </w:r>
      <w:r w:rsidR="001C65EF">
        <w:t>promotes</w:t>
      </w:r>
      <w:r w:rsidR="00890CDD">
        <w:t xml:space="preserve"> the equality and fairness </w:t>
      </w:r>
      <w:r w:rsidR="001C65EF">
        <w:t>towards</w:t>
      </w:r>
      <w:r w:rsidR="00890CDD">
        <w:t xml:space="preserve"> workers in workplaces and provides for the guidelines to the formation of new business entities. The parliament also fights crimes and terrorism </w:t>
      </w:r>
      <w:r w:rsidR="001C65EF">
        <w:t>thus</w:t>
      </w:r>
      <w:r w:rsidR="00890CDD">
        <w:t xml:space="preserve"> creat</w:t>
      </w:r>
      <w:r w:rsidR="001C65EF">
        <w:t>ing</w:t>
      </w:r>
      <w:r w:rsidR="00890CDD">
        <w:t xml:space="preserve"> a better environment for businesses to </w:t>
      </w:r>
      <w:r w:rsidR="001C65EF">
        <w:t>operate</w:t>
      </w:r>
      <w:r w:rsidR="00890CDD">
        <w:t xml:space="preserve">. Lastly, the legislature plays a massive role </w:t>
      </w:r>
      <w:r w:rsidR="001C65EF">
        <w:t xml:space="preserve">in </w:t>
      </w:r>
      <w:r w:rsidR="00890CDD">
        <w:t xml:space="preserve">promoting unity and guarding personal and organizational information. Therefore, the house is critical in the running of business activities around the country and helps the society as a whole in regulating key issues in the society.  </w:t>
      </w:r>
    </w:p>
    <w:p w:rsidR="001C65EF" w:rsidRDefault="001C65EF" w:rsidP="00543D42">
      <w:pPr>
        <w:spacing w:line="276" w:lineRule="auto"/>
      </w:pPr>
    </w:p>
    <w:p w:rsidR="001C65EF" w:rsidRDefault="001C65EF">
      <w:r>
        <w:br w:type="page"/>
      </w:r>
    </w:p>
    <w:p w:rsidR="00890CDD" w:rsidRPr="001C65EF" w:rsidRDefault="001C65EF" w:rsidP="001C65EF">
      <w:pPr>
        <w:spacing w:line="276" w:lineRule="auto"/>
        <w:jc w:val="center"/>
        <w:rPr>
          <w:b/>
        </w:rPr>
      </w:pPr>
      <w:r w:rsidRPr="001C65EF">
        <w:rPr>
          <w:b/>
        </w:rPr>
        <w:lastRenderedPageBreak/>
        <w:t>References</w:t>
      </w:r>
    </w:p>
    <w:p w:rsidR="001C65EF" w:rsidRDefault="001C65EF" w:rsidP="001C65EF">
      <w:pPr>
        <w:pStyle w:val="Bibliography"/>
        <w:spacing w:line="276" w:lineRule="auto"/>
        <w:ind w:left="720" w:hanging="720"/>
        <w:rPr>
          <w:noProof/>
          <w:sz w:val="24"/>
          <w:szCs w:val="24"/>
        </w:rPr>
      </w:pPr>
      <w:r>
        <w:fldChar w:fldCharType="begin"/>
      </w:r>
      <w:r>
        <w:instrText xml:space="preserve"> BIBLIOGRAPHY  \l 1033 </w:instrText>
      </w:r>
      <w:r>
        <w:fldChar w:fldCharType="separate"/>
      </w:r>
      <w:r>
        <w:rPr>
          <w:noProof/>
        </w:rPr>
        <w:t xml:space="preserve">Australian Competition and Consumer Commision. (2016, march 10). </w:t>
      </w:r>
      <w:r>
        <w:rPr>
          <w:i/>
          <w:iCs/>
          <w:noProof/>
        </w:rPr>
        <w:t>Legislation</w:t>
      </w:r>
      <w:r>
        <w:rPr>
          <w:noProof/>
        </w:rPr>
        <w:t>. Retrieved from Australian Competition and Consumer Commision: https://www.accc.gov.au/about-us/australian-competition-consumer-commission/legislation</w:t>
      </w:r>
    </w:p>
    <w:p w:rsidR="001C65EF" w:rsidRDefault="001C65EF" w:rsidP="001C65EF">
      <w:pPr>
        <w:pStyle w:val="Bibliography"/>
        <w:spacing w:line="276" w:lineRule="auto"/>
        <w:ind w:left="720" w:hanging="720"/>
        <w:rPr>
          <w:noProof/>
        </w:rPr>
      </w:pPr>
      <w:r>
        <w:rPr>
          <w:noProof/>
        </w:rPr>
        <w:t xml:space="preserve">Australian Government. (2016, March 12). </w:t>
      </w:r>
      <w:r>
        <w:rPr>
          <w:i/>
          <w:iCs/>
          <w:noProof/>
        </w:rPr>
        <w:t>Privacy Law</w:t>
      </w:r>
      <w:r>
        <w:rPr>
          <w:noProof/>
        </w:rPr>
        <w:t>. Retrieved from Office of the Australian Information Commisioner: https://www.oaic.gov.au/privacy-law/privacy-act/</w:t>
      </w:r>
    </w:p>
    <w:p w:rsidR="001C65EF" w:rsidRDefault="001C65EF" w:rsidP="001C65EF">
      <w:pPr>
        <w:pStyle w:val="Bibliography"/>
        <w:spacing w:line="276" w:lineRule="auto"/>
        <w:ind w:left="720" w:hanging="720"/>
        <w:rPr>
          <w:noProof/>
        </w:rPr>
      </w:pPr>
      <w:r>
        <w:rPr>
          <w:noProof/>
        </w:rPr>
        <w:t xml:space="preserve">Gottschalk, P. (2010). Categories of financial crime. </w:t>
      </w:r>
      <w:r>
        <w:rPr>
          <w:i/>
          <w:iCs/>
          <w:noProof/>
        </w:rPr>
        <w:t>Journal of Financial Crime, 17</w:t>
      </w:r>
      <w:r>
        <w:rPr>
          <w:noProof/>
        </w:rPr>
        <w:t>(4), 441-458.</w:t>
      </w:r>
    </w:p>
    <w:p w:rsidR="001C65EF" w:rsidRDefault="001C65EF" w:rsidP="001C65EF">
      <w:pPr>
        <w:pStyle w:val="Bibliography"/>
        <w:spacing w:line="276" w:lineRule="auto"/>
        <w:ind w:left="720" w:hanging="720"/>
        <w:rPr>
          <w:noProof/>
        </w:rPr>
      </w:pPr>
      <w:r>
        <w:rPr>
          <w:noProof/>
        </w:rPr>
        <w:t xml:space="preserve">Mullins, S. (2011). Islamist Terrorism and Australia: An Empirical Examination of the “Home-Grown” Threat. </w:t>
      </w:r>
      <w:r>
        <w:rPr>
          <w:i/>
          <w:iCs/>
          <w:noProof/>
        </w:rPr>
        <w:t>Terrorism and Political Violence, 23</w:t>
      </w:r>
      <w:r>
        <w:rPr>
          <w:noProof/>
        </w:rPr>
        <w:t>(2), 254-285.</w:t>
      </w:r>
    </w:p>
    <w:p w:rsidR="001C65EF" w:rsidRDefault="001C65EF" w:rsidP="001C65EF">
      <w:pPr>
        <w:pStyle w:val="Bibliography"/>
        <w:spacing w:line="276" w:lineRule="auto"/>
        <w:ind w:left="720" w:hanging="720"/>
        <w:rPr>
          <w:noProof/>
        </w:rPr>
      </w:pPr>
      <w:r>
        <w:rPr>
          <w:noProof/>
        </w:rPr>
        <w:t xml:space="preserve">Queenland Government. (2016, March 11). </w:t>
      </w:r>
      <w:r>
        <w:rPr>
          <w:i/>
          <w:iCs/>
          <w:noProof/>
        </w:rPr>
        <w:t>Environmental and Pollution Laws</w:t>
      </w:r>
      <w:r>
        <w:rPr>
          <w:noProof/>
        </w:rPr>
        <w:t>. Retrieved from Queensland Government: https://www.qld.gov.au/law/laws-regulated-industries-and-accountability/queensland-laws-and-regulations/queensland-laws/about-queensland-laws/environment-and-pollution-laws/</w:t>
      </w:r>
    </w:p>
    <w:p w:rsidR="001C65EF" w:rsidRDefault="001C65EF" w:rsidP="001C65EF">
      <w:pPr>
        <w:pStyle w:val="Bibliography"/>
        <w:spacing w:line="276" w:lineRule="auto"/>
        <w:ind w:left="720" w:hanging="720"/>
      </w:pPr>
      <w:r>
        <w:rPr>
          <w:noProof/>
        </w:rPr>
        <w:t xml:space="preserve">Vickery, R., &amp; Flood, M. (2011). </w:t>
      </w:r>
      <w:r>
        <w:rPr>
          <w:i/>
          <w:iCs/>
          <w:noProof/>
        </w:rPr>
        <w:t>Australian Business Law: Compliance and Practice.</w:t>
      </w:r>
      <w:r>
        <w:rPr>
          <w:noProof/>
        </w:rPr>
        <w:t xml:space="preserve"> Queensland: Pearson Australia.</w:t>
      </w:r>
      <w:r>
        <w:fldChar w:fldCharType="end"/>
      </w:r>
    </w:p>
    <w:p w:rsidR="00890CDD" w:rsidRDefault="00890CDD" w:rsidP="001C65EF">
      <w:pPr>
        <w:spacing w:line="276" w:lineRule="auto"/>
      </w:pPr>
    </w:p>
    <w:p w:rsidR="00890CDD" w:rsidRDefault="00890CDD" w:rsidP="001C65EF">
      <w:pPr>
        <w:spacing w:line="276" w:lineRule="auto"/>
      </w:pPr>
    </w:p>
    <w:p w:rsidR="00890CDD" w:rsidRDefault="00890CDD" w:rsidP="001C65EF">
      <w:pPr>
        <w:spacing w:line="276" w:lineRule="auto"/>
      </w:pPr>
    </w:p>
    <w:p w:rsidR="00890CDD" w:rsidRDefault="00890CDD" w:rsidP="001C65EF">
      <w:pPr>
        <w:spacing w:line="276" w:lineRule="auto"/>
      </w:pPr>
    </w:p>
    <w:p w:rsidR="00890CDD" w:rsidRDefault="00890CDD" w:rsidP="001C65EF">
      <w:pPr>
        <w:spacing w:line="276" w:lineRule="auto"/>
      </w:pPr>
    </w:p>
    <w:p w:rsidR="00890CDD" w:rsidRDefault="00890CDD" w:rsidP="001C65EF">
      <w:pPr>
        <w:spacing w:line="276" w:lineRule="auto"/>
      </w:pPr>
    </w:p>
    <w:p w:rsidR="00890CDD" w:rsidRDefault="00890CDD" w:rsidP="00543D42">
      <w:pPr>
        <w:spacing w:line="276" w:lineRule="auto"/>
      </w:pPr>
    </w:p>
    <w:p w:rsidR="00890CDD" w:rsidRDefault="00890CDD" w:rsidP="00543D42">
      <w:pPr>
        <w:spacing w:line="276" w:lineRule="auto"/>
      </w:pPr>
    </w:p>
    <w:p w:rsidR="00890CDD" w:rsidRDefault="00890CDD" w:rsidP="00543D42">
      <w:pPr>
        <w:spacing w:line="276" w:lineRule="auto"/>
      </w:pPr>
    </w:p>
    <w:p w:rsidR="00890CDD" w:rsidRDefault="00890CDD" w:rsidP="00543D42">
      <w:pPr>
        <w:spacing w:line="276" w:lineRule="auto"/>
      </w:pPr>
    </w:p>
    <w:p w:rsidR="00890CDD" w:rsidRDefault="00890CDD" w:rsidP="00543D42">
      <w:pPr>
        <w:spacing w:line="276" w:lineRule="auto"/>
      </w:pPr>
    </w:p>
    <w:p w:rsidR="00890CDD" w:rsidRDefault="00890CDD" w:rsidP="00543D42">
      <w:pPr>
        <w:spacing w:line="276" w:lineRule="auto"/>
      </w:pPr>
    </w:p>
    <w:p w:rsidR="00890CDD" w:rsidRDefault="00890CDD" w:rsidP="00543D42">
      <w:pPr>
        <w:spacing w:line="276" w:lineRule="auto"/>
      </w:pPr>
    </w:p>
    <w:p w:rsidR="00890CDD" w:rsidRDefault="00890CDD" w:rsidP="00543D42">
      <w:pPr>
        <w:spacing w:line="276" w:lineRule="auto"/>
      </w:pPr>
    </w:p>
    <w:p w:rsidR="00890CDD" w:rsidRDefault="00890CDD" w:rsidP="00543D42">
      <w:pPr>
        <w:spacing w:line="276" w:lineRule="auto"/>
      </w:pPr>
    </w:p>
    <w:p w:rsidR="00890CDD" w:rsidRDefault="00890CDD" w:rsidP="00543D42">
      <w:pPr>
        <w:spacing w:line="276" w:lineRule="auto"/>
      </w:pPr>
    </w:p>
    <w:p w:rsidR="00890CDD" w:rsidRDefault="00890CDD" w:rsidP="00543D42">
      <w:pPr>
        <w:spacing w:line="276" w:lineRule="auto"/>
      </w:pPr>
    </w:p>
    <w:p w:rsidR="00890CDD" w:rsidRDefault="00890CDD" w:rsidP="00543D42">
      <w:pPr>
        <w:spacing w:line="276" w:lineRule="auto"/>
      </w:pPr>
    </w:p>
    <w:p w:rsidR="00890CDD" w:rsidRDefault="00890CDD" w:rsidP="00543D42">
      <w:pPr>
        <w:spacing w:line="276" w:lineRule="auto"/>
      </w:pPr>
    </w:p>
    <w:p w:rsidR="00890CDD" w:rsidRDefault="00890CDD" w:rsidP="00543D42">
      <w:pPr>
        <w:spacing w:line="276" w:lineRule="auto"/>
        <w:jc w:val="center"/>
      </w:pPr>
      <w:r>
        <w:t>References</w:t>
      </w:r>
    </w:p>
    <w:p w:rsidR="00890CDD" w:rsidRDefault="00890CDD" w:rsidP="00543D42">
      <w:pPr>
        <w:spacing w:line="276" w:lineRule="auto"/>
      </w:pPr>
    </w:p>
    <w:p w:rsidR="00890CDD" w:rsidRDefault="00890CDD" w:rsidP="00543D42">
      <w:pPr>
        <w:spacing w:line="276" w:lineRule="auto"/>
      </w:pPr>
      <w:r>
        <w:t xml:space="preserve"> </w:t>
      </w:r>
    </w:p>
    <w:p w:rsidR="00EC00D4" w:rsidRPr="00890CDD" w:rsidRDefault="00EC00D4" w:rsidP="00543D42">
      <w:pPr>
        <w:spacing w:line="276" w:lineRule="auto"/>
      </w:pPr>
    </w:p>
    <w:sectPr w:rsidR="00EC00D4" w:rsidRPr="00890CDD" w:rsidSect="00543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7CB" w:rsidRDefault="00EC67CB" w:rsidP="00B3179F">
      <w:pPr>
        <w:spacing w:after="0" w:line="240" w:lineRule="auto"/>
      </w:pPr>
      <w:r>
        <w:separator/>
      </w:r>
    </w:p>
  </w:endnote>
  <w:endnote w:type="continuationSeparator" w:id="0">
    <w:p w:rsidR="00EC67CB" w:rsidRDefault="00EC67CB" w:rsidP="00B31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7CB" w:rsidRDefault="00EC67CB" w:rsidP="00B3179F">
      <w:pPr>
        <w:spacing w:after="0" w:line="240" w:lineRule="auto"/>
      </w:pPr>
      <w:r>
        <w:separator/>
      </w:r>
    </w:p>
  </w:footnote>
  <w:footnote w:type="continuationSeparator" w:id="0">
    <w:p w:rsidR="00EC67CB" w:rsidRDefault="00EC67CB" w:rsidP="00B31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0170436"/>
      <w:docPartObj>
        <w:docPartGallery w:val="Page Numbers (Top of Page)"/>
        <w:docPartUnique/>
      </w:docPartObj>
    </w:sdtPr>
    <w:sdtEndPr>
      <w:rPr>
        <w:noProof/>
      </w:rPr>
    </w:sdtEndPr>
    <w:sdtContent>
      <w:p w:rsidR="002551A1" w:rsidRDefault="002551A1" w:rsidP="00942B58">
        <w:pPr>
          <w:pStyle w:val="Header"/>
          <w:tabs>
            <w:tab w:val="clear" w:pos="4680"/>
          </w:tabs>
          <w:jc w:val="right"/>
        </w:pPr>
        <w:r>
          <w:t>COMMERCIAL LAW</w:t>
        </w:r>
        <w:r>
          <w:tab/>
        </w:r>
        <w:r>
          <w:fldChar w:fldCharType="begin"/>
        </w:r>
        <w:r>
          <w:instrText xml:space="preserve"> PAGE   \* MERGEFORMAT </w:instrText>
        </w:r>
        <w:r>
          <w:fldChar w:fldCharType="separate"/>
        </w:r>
        <w:r w:rsidR="003A70CE">
          <w:rPr>
            <w:noProof/>
          </w:rPr>
          <w:t>3</w:t>
        </w:r>
        <w:r>
          <w:rPr>
            <w:noProof/>
          </w:rPr>
          <w:fldChar w:fldCharType="end"/>
        </w:r>
      </w:p>
    </w:sdtContent>
  </w:sdt>
  <w:p w:rsidR="002551A1" w:rsidRDefault="002551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79F"/>
    <w:rsid w:val="0003462B"/>
    <w:rsid w:val="001C65EF"/>
    <w:rsid w:val="001D0809"/>
    <w:rsid w:val="002551A1"/>
    <w:rsid w:val="0026406C"/>
    <w:rsid w:val="002E6AD4"/>
    <w:rsid w:val="00360FBA"/>
    <w:rsid w:val="00374B37"/>
    <w:rsid w:val="003A70CE"/>
    <w:rsid w:val="00491235"/>
    <w:rsid w:val="00543D42"/>
    <w:rsid w:val="00565C57"/>
    <w:rsid w:val="005B2EC7"/>
    <w:rsid w:val="005F47BE"/>
    <w:rsid w:val="006068CE"/>
    <w:rsid w:val="00625ACA"/>
    <w:rsid w:val="006E7A4A"/>
    <w:rsid w:val="00795C85"/>
    <w:rsid w:val="007E3B52"/>
    <w:rsid w:val="00837D9C"/>
    <w:rsid w:val="00842222"/>
    <w:rsid w:val="00890CDD"/>
    <w:rsid w:val="008A6C76"/>
    <w:rsid w:val="008F634A"/>
    <w:rsid w:val="00942B58"/>
    <w:rsid w:val="00945D18"/>
    <w:rsid w:val="00A84AE6"/>
    <w:rsid w:val="00B179A0"/>
    <w:rsid w:val="00B3179F"/>
    <w:rsid w:val="00B3576F"/>
    <w:rsid w:val="00B61F88"/>
    <w:rsid w:val="00B67F86"/>
    <w:rsid w:val="00B858FC"/>
    <w:rsid w:val="00BA50A6"/>
    <w:rsid w:val="00C44D0A"/>
    <w:rsid w:val="00C72444"/>
    <w:rsid w:val="00CA7251"/>
    <w:rsid w:val="00CF2FAC"/>
    <w:rsid w:val="00D05754"/>
    <w:rsid w:val="00DB2C5B"/>
    <w:rsid w:val="00DE2AFF"/>
    <w:rsid w:val="00E2393E"/>
    <w:rsid w:val="00E260C8"/>
    <w:rsid w:val="00EC00D4"/>
    <w:rsid w:val="00EC065E"/>
    <w:rsid w:val="00EC67CB"/>
    <w:rsid w:val="00F4124F"/>
    <w:rsid w:val="00FC5B36"/>
    <w:rsid w:val="00FD7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42F8A"/>
  <w15:chartTrackingRefBased/>
  <w15:docId w15:val="{8427F1B1-4D69-44D7-A2A5-C383797B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79F"/>
  </w:style>
  <w:style w:type="paragraph" w:styleId="Footer">
    <w:name w:val="footer"/>
    <w:basedOn w:val="Normal"/>
    <w:link w:val="FooterChar"/>
    <w:uiPriority w:val="99"/>
    <w:unhideWhenUsed/>
    <w:rsid w:val="00B31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79F"/>
  </w:style>
  <w:style w:type="character" w:customStyle="1" w:styleId="Heading1Char">
    <w:name w:val="Heading 1 Char"/>
    <w:basedOn w:val="DefaultParagraphFont"/>
    <w:link w:val="Heading1"/>
    <w:uiPriority w:val="9"/>
    <w:rsid w:val="00C44D0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44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2650">
      <w:bodyDiv w:val="1"/>
      <w:marLeft w:val="0"/>
      <w:marRight w:val="0"/>
      <w:marTop w:val="0"/>
      <w:marBottom w:val="0"/>
      <w:divBdr>
        <w:top w:val="none" w:sz="0" w:space="0" w:color="auto"/>
        <w:left w:val="none" w:sz="0" w:space="0" w:color="auto"/>
        <w:bottom w:val="none" w:sz="0" w:space="0" w:color="auto"/>
        <w:right w:val="none" w:sz="0" w:space="0" w:color="auto"/>
      </w:divBdr>
    </w:div>
    <w:div w:id="140730041">
      <w:bodyDiv w:val="1"/>
      <w:marLeft w:val="0"/>
      <w:marRight w:val="0"/>
      <w:marTop w:val="0"/>
      <w:marBottom w:val="0"/>
      <w:divBdr>
        <w:top w:val="none" w:sz="0" w:space="0" w:color="auto"/>
        <w:left w:val="none" w:sz="0" w:space="0" w:color="auto"/>
        <w:bottom w:val="none" w:sz="0" w:space="0" w:color="auto"/>
        <w:right w:val="none" w:sz="0" w:space="0" w:color="auto"/>
      </w:divBdr>
    </w:div>
    <w:div w:id="304624072">
      <w:bodyDiv w:val="1"/>
      <w:marLeft w:val="0"/>
      <w:marRight w:val="0"/>
      <w:marTop w:val="0"/>
      <w:marBottom w:val="0"/>
      <w:divBdr>
        <w:top w:val="none" w:sz="0" w:space="0" w:color="auto"/>
        <w:left w:val="none" w:sz="0" w:space="0" w:color="auto"/>
        <w:bottom w:val="none" w:sz="0" w:space="0" w:color="auto"/>
        <w:right w:val="none" w:sz="0" w:space="0" w:color="auto"/>
      </w:divBdr>
    </w:div>
    <w:div w:id="349839788">
      <w:bodyDiv w:val="1"/>
      <w:marLeft w:val="0"/>
      <w:marRight w:val="0"/>
      <w:marTop w:val="0"/>
      <w:marBottom w:val="0"/>
      <w:divBdr>
        <w:top w:val="none" w:sz="0" w:space="0" w:color="auto"/>
        <w:left w:val="none" w:sz="0" w:space="0" w:color="auto"/>
        <w:bottom w:val="none" w:sz="0" w:space="0" w:color="auto"/>
        <w:right w:val="none" w:sz="0" w:space="0" w:color="auto"/>
      </w:divBdr>
    </w:div>
    <w:div w:id="458231593">
      <w:bodyDiv w:val="1"/>
      <w:marLeft w:val="0"/>
      <w:marRight w:val="0"/>
      <w:marTop w:val="0"/>
      <w:marBottom w:val="0"/>
      <w:divBdr>
        <w:top w:val="none" w:sz="0" w:space="0" w:color="auto"/>
        <w:left w:val="none" w:sz="0" w:space="0" w:color="auto"/>
        <w:bottom w:val="none" w:sz="0" w:space="0" w:color="auto"/>
        <w:right w:val="none" w:sz="0" w:space="0" w:color="auto"/>
      </w:divBdr>
    </w:div>
    <w:div w:id="541091152">
      <w:bodyDiv w:val="1"/>
      <w:marLeft w:val="0"/>
      <w:marRight w:val="0"/>
      <w:marTop w:val="0"/>
      <w:marBottom w:val="0"/>
      <w:divBdr>
        <w:top w:val="none" w:sz="0" w:space="0" w:color="auto"/>
        <w:left w:val="none" w:sz="0" w:space="0" w:color="auto"/>
        <w:bottom w:val="none" w:sz="0" w:space="0" w:color="auto"/>
        <w:right w:val="none" w:sz="0" w:space="0" w:color="auto"/>
      </w:divBdr>
    </w:div>
    <w:div w:id="675502648">
      <w:bodyDiv w:val="1"/>
      <w:marLeft w:val="0"/>
      <w:marRight w:val="0"/>
      <w:marTop w:val="0"/>
      <w:marBottom w:val="0"/>
      <w:divBdr>
        <w:top w:val="none" w:sz="0" w:space="0" w:color="auto"/>
        <w:left w:val="none" w:sz="0" w:space="0" w:color="auto"/>
        <w:bottom w:val="none" w:sz="0" w:space="0" w:color="auto"/>
        <w:right w:val="none" w:sz="0" w:space="0" w:color="auto"/>
      </w:divBdr>
    </w:div>
    <w:div w:id="981547188">
      <w:bodyDiv w:val="1"/>
      <w:marLeft w:val="0"/>
      <w:marRight w:val="0"/>
      <w:marTop w:val="0"/>
      <w:marBottom w:val="0"/>
      <w:divBdr>
        <w:top w:val="none" w:sz="0" w:space="0" w:color="auto"/>
        <w:left w:val="none" w:sz="0" w:space="0" w:color="auto"/>
        <w:bottom w:val="none" w:sz="0" w:space="0" w:color="auto"/>
        <w:right w:val="none" w:sz="0" w:space="0" w:color="auto"/>
      </w:divBdr>
    </w:div>
    <w:div w:id="1101993338">
      <w:bodyDiv w:val="1"/>
      <w:marLeft w:val="0"/>
      <w:marRight w:val="0"/>
      <w:marTop w:val="0"/>
      <w:marBottom w:val="0"/>
      <w:divBdr>
        <w:top w:val="none" w:sz="0" w:space="0" w:color="auto"/>
        <w:left w:val="none" w:sz="0" w:space="0" w:color="auto"/>
        <w:bottom w:val="none" w:sz="0" w:space="0" w:color="auto"/>
        <w:right w:val="none" w:sz="0" w:space="0" w:color="auto"/>
      </w:divBdr>
    </w:div>
    <w:div w:id="1265117231">
      <w:bodyDiv w:val="1"/>
      <w:marLeft w:val="0"/>
      <w:marRight w:val="0"/>
      <w:marTop w:val="0"/>
      <w:marBottom w:val="0"/>
      <w:divBdr>
        <w:top w:val="none" w:sz="0" w:space="0" w:color="auto"/>
        <w:left w:val="none" w:sz="0" w:space="0" w:color="auto"/>
        <w:bottom w:val="none" w:sz="0" w:space="0" w:color="auto"/>
        <w:right w:val="none" w:sz="0" w:space="0" w:color="auto"/>
      </w:divBdr>
    </w:div>
    <w:div w:id="1465661450">
      <w:bodyDiv w:val="1"/>
      <w:marLeft w:val="0"/>
      <w:marRight w:val="0"/>
      <w:marTop w:val="0"/>
      <w:marBottom w:val="0"/>
      <w:divBdr>
        <w:top w:val="none" w:sz="0" w:space="0" w:color="auto"/>
        <w:left w:val="none" w:sz="0" w:space="0" w:color="auto"/>
        <w:bottom w:val="none" w:sz="0" w:space="0" w:color="auto"/>
        <w:right w:val="none" w:sz="0" w:space="0" w:color="auto"/>
      </w:divBdr>
    </w:div>
    <w:div w:id="1513833254">
      <w:bodyDiv w:val="1"/>
      <w:marLeft w:val="0"/>
      <w:marRight w:val="0"/>
      <w:marTop w:val="0"/>
      <w:marBottom w:val="0"/>
      <w:divBdr>
        <w:top w:val="none" w:sz="0" w:space="0" w:color="auto"/>
        <w:left w:val="none" w:sz="0" w:space="0" w:color="auto"/>
        <w:bottom w:val="none" w:sz="0" w:space="0" w:color="auto"/>
        <w:right w:val="none" w:sz="0" w:space="0" w:color="auto"/>
      </w:divBdr>
    </w:div>
    <w:div w:id="1590459645">
      <w:bodyDiv w:val="1"/>
      <w:marLeft w:val="0"/>
      <w:marRight w:val="0"/>
      <w:marTop w:val="0"/>
      <w:marBottom w:val="0"/>
      <w:divBdr>
        <w:top w:val="none" w:sz="0" w:space="0" w:color="auto"/>
        <w:left w:val="none" w:sz="0" w:space="0" w:color="auto"/>
        <w:bottom w:val="none" w:sz="0" w:space="0" w:color="auto"/>
        <w:right w:val="none" w:sz="0" w:space="0" w:color="auto"/>
      </w:divBdr>
    </w:div>
    <w:div w:id="1796676585">
      <w:bodyDiv w:val="1"/>
      <w:marLeft w:val="0"/>
      <w:marRight w:val="0"/>
      <w:marTop w:val="0"/>
      <w:marBottom w:val="0"/>
      <w:divBdr>
        <w:top w:val="none" w:sz="0" w:space="0" w:color="auto"/>
        <w:left w:val="none" w:sz="0" w:space="0" w:color="auto"/>
        <w:bottom w:val="none" w:sz="0" w:space="0" w:color="auto"/>
        <w:right w:val="none" w:sz="0" w:space="0" w:color="auto"/>
      </w:divBdr>
    </w:div>
    <w:div w:id="1970891505">
      <w:bodyDiv w:val="1"/>
      <w:marLeft w:val="0"/>
      <w:marRight w:val="0"/>
      <w:marTop w:val="0"/>
      <w:marBottom w:val="0"/>
      <w:divBdr>
        <w:top w:val="none" w:sz="0" w:space="0" w:color="auto"/>
        <w:left w:val="none" w:sz="0" w:space="0" w:color="auto"/>
        <w:bottom w:val="none" w:sz="0" w:space="0" w:color="auto"/>
        <w:right w:val="none" w:sz="0" w:space="0" w:color="auto"/>
      </w:divBdr>
    </w:div>
    <w:div w:id="2018658037">
      <w:bodyDiv w:val="1"/>
      <w:marLeft w:val="0"/>
      <w:marRight w:val="0"/>
      <w:marTop w:val="0"/>
      <w:marBottom w:val="0"/>
      <w:divBdr>
        <w:top w:val="none" w:sz="0" w:space="0" w:color="auto"/>
        <w:left w:val="none" w:sz="0" w:space="0" w:color="auto"/>
        <w:bottom w:val="none" w:sz="0" w:space="0" w:color="auto"/>
        <w:right w:val="none" w:sz="0" w:space="0" w:color="auto"/>
      </w:divBdr>
    </w:div>
    <w:div w:id="2097361356">
      <w:bodyDiv w:val="1"/>
      <w:marLeft w:val="0"/>
      <w:marRight w:val="0"/>
      <w:marTop w:val="0"/>
      <w:marBottom w:val="0"/>
      <w:divBdr>
        <w:top w:val="none" w:sz="0" w:space="0" w:color="auto"/>
        <w:left w:val="none" w:sz="0" w:space="0" w:color="auto"/>
        <w:bottom w:val="none" w:sz="0" w:space="0" w:color="auto"/>
        <w:right w:val="none" w:sz="0" w:space="0" w:color="auto"/>
      </w:divBdr>
    </w:div>
    <w:div w:id="210464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Que161</b:Tag>
    <b:SourceType>InternetSite</b:SourceType>
    <b:Guid>{8ACC07D4-6782-4DE3-8C8D-C0C7006D52B7}</b:Guid>
    <b:Author>
      <b:Author>
        <b:Corporate>Queenland Government</b:Corporate>
      </b:Author>
    </b:Author>
    <b:Title>Environmental and Pollution Laws</b:Title>
    <b:InternetSiteTitle>Queensland Government</b:InternetSiteTitle>
    <b:Year>2016</b:Year>
    <b:Month>March</b:Month>
    <b:Day>11</b:Day>
    <b:URL>https://www.qld.gov.au/law/laws-regulated-industries-and-accountability/queensland-laws-and-regulations/queensland-laws/about-queensland-laws/environment-and-pollution-laws/</b:URL>
    <b:RefOrder>3</b:RefOrder>
  </b:Source>
  <b:Source>
    <b:Tag>Aus161</b:Tag>
    <b:SourceType>InternetSite</b:SourceType>
    <b:Guid>{AEF0F343-ED74-47AA-AA95-02D92480AB5B}</b:Guid>
    <b:Author>
      <b:Author>
        <b:Corporate>Australian Government</b:Corporate>
      </b:Author>
    </b:Author>
    <b:Title>Privacy Law</b:Title>
    <b:InternetSiteTitle>Office of the Australian Information Commisioner</b:InternetSiteTitle>
    <b:Year>2016</b:Year>
    <b:Month>March</b:Month>
    <b:Day>12</b:Day>
    <b:URL>https://www.oaic.gov.au/privacy-law/privacy-act/</b:URL>
    <b:RefOrder>5</b:RefOrder>
  </b:Source>
  <b:Source>
    <b:Tag>Aus16</b:Tag>
    <b:SourceType>InternetSite</b:SourceType>
    <b:Guid>{E273800E-EA5C-492D-BB85-6EE22DD1F2E4}</b:Guid>
    <b:Author>
      <b:Author>
        <b:Corporate>Australian Competition and Consumer Commision</b:Corporate>
      </b:Author>
    </b:Author>
    <b:Title>Legislation</b:Title>
    <b:InternetSiteTitle>Australian Competition and Consumer Commision</b:InternetSiteTitle>
    <b:Year>2016</b:Year>
    <b:Month>march</b:Month>
    <b:Day>10</b:Day>
    <b:URL>https://www.accc.gov.au/about-us/australian-competition-consumer-commission/legislation</b:URL>
    <b:RefOrder>1</b:RefOrder>
  </b:Source>
  <b:Source>
    <b:Tag>Got10</b:Tag>
    <b:SourceType>JournalArticle</b:SourceType>
    <b:Guid>{670AFADE-DFA4-4B4B-9A6B-7589C9DB3083}</b:Guid>
    <b:Title>Categories of financial crime</b:Title>
    <b:Year>2010</b:Year>
    <b:Author>
      <b:Author>
        <b:NameList>
          <b:Person>
            <b:Last>Gottschalk</b:Last>
            <b:First>P.</b:First>
          </b:Person>
        </b:NameList>
      </b:Author>
    </b:Author>
    <b:JournalName>Journal of Financial Crime</b:JournalName>
    <b:Pages>441-458</b:Pages>
    <b:Volume>17</b:Volume>
    <b:Issue>4</b:Issue>
    <b:RefOrder>6</b:RefOrder>
  </b:Source>
  <b:Source>
    <b:Tag>Mul11</b:Tag>
    <b:SourceType>JournalArticle</b:SourceType>
    <b:Guid>{88C2AE03-2D27-4BEE-A263-6D7AF5753E76}</b:Guid>
    <b:Author>
      <b:Author>
        <b:NameList>
          <b:Person>
            <b:Last>Mullins</b:Last>
            <b:First>S.</b:First>
          </b:Person>
        </b:NameList>
      </b:Author>
    </b:Author>
    <b:Title>Islamist Terrorism and Australia: An Empirical Examination of the “Home-Grown” Threat</b:Title>
    <b:JournalName>Terrorism and Political Violence</b:JournalName>
    <b:Year>2011</b:Year>
    <b:Pages>254-285</b:Pages>
    <b:Volume>23</b:Volume>
    <b:Issue>2</b:Issue>
    <b:RefOrder>4</b:RefOrder>
  </b:Source>
  <b:Source>
    <b:Tag>Rog11</b:Tag>
    <b:SourceType>Book</b:SourceType>
    <b:Guid>{642D6015-3D63-464D-8EE6-C777C3B8EE2E}</b:Guid>
    <b:Author>
      <b:Author>
        <b:NameList>
          <b:Person>
            <b:Last>Vickery</b:Last>
            <b:First>Roger</b:First>
          </b:Person>
          <b:Person>
            <b:Last>Flood</b:Last>
            <b:First>MaryAnne</b:First>
          </b:Person>
        </b:NameList>
      </b:Author>
    </b:Author>
    <b:Title>Australian Business Law: Compliance and Practice</b:Title>
    <b:Year>2011</b:Year>
    <b:City>Queensland</b:City>
    <b:Publisher>Pearson Australia</b:Publisher>
    <b:RefOrder>2</b:RefOrder>
  </b:Source>
</b:Sources>
</file>

<file path=customXml/itemProps1.xml><?xml version="1.0" encoding="utf-8"?>
<ds:datastoreItem xmlns:ds="http://schemas.openxmlformats.org/officeDocument/2006/customXml" ds:itemID="{94F11966-C12C-4163-A242-1775A0C76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user2</cp:lastModifiedBy>
  <cp:revision>4</cp:revision>
  <dcterms:created xsi:type="dcterms:W3CDTF">2016-04-21T06:14:00Z</dcterms:created>
  <dcterms:modified xsi:type="dcterms:W3CDTF">2016-04-22T06:43:00Z</dcterms:modified>
</cp:coreProperties>
</file>