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6A" w:rsidRDefault="00DE026A" w:rsidP="00837927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:rsidR="00DE026A" w:rsidRDefault="00DE026A" w:rsidP="00837927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:rsidR="00597CB9" w:rsidRDefault="00597CB9" w:rsidP="00837927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:rsidR="00DE026A" w:rsidRDefault="00DE026A" w:rsidP="00837927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:rsidR="00DE026A" w:rsidRPr="00597CB9" w:rsidRDefault="00597CB9" w:rsidP="00837927">
      <w:pPr>
        <w:spacing w:line="480" w:lineRule="auto"/>
        <w:jc w:val="center"/>
        <w:rPr>
          <w:caps/>
        </w:rPr>
      </w:pPr>
      <w:r w:rsidRPr="00597CB9">
        <w:rPr>
          <w:caps/>
        </w:rPr>
        <w:t>The Legal Aid, Sentencing and Punishment of Offenders Act 2012</w:t>
      </w:r>
    </w:p>
    <w:p w:rsidR="00DE026A" w:rsidRDefault="00DE026A" w:rsidP="00837927">
      <w:pPr>
        <w:spacing w:line="480" w:lineRule="auto"/>
      </w:pPr>
    </w:p>
    <w:p w:rsidR="00DE026A" w:rsidRPr="00FC637C" w:rsidRDefault="00DE026A" w:rsidP="00837927">
      <w:pPr>
        <w:spacing w:line="480" w:lineRule="auto"/>
        <w:jc w:val="center"/>
      </w:pPr>
      <w:r w:rsidRPr="00FC637C">
        <w:t>By</w:t>
      </w:r>
    </w:p>
    <w:p w:rsidR="00DE026A" w:rsidRPr="00FC637C" w:rsidRDefault="00DE026A" w:rsidP="00837927">
      <w:pPr>
        <w:spacing w:line="480" w:lineRule="auto"/>
        <w:jc w:val="center"/>
      </w:pPr>
      <w:r w:rsidRPr="00FC637C">
        <w:t>Insert Your Name</w:t>
      </w:r>
    </w:p>
    <w:p w:rsidR="00DE026A" w:rsidRPr="00FC637C" w:rsidRDefault="00DE026A" w:rsidP="00837927">
      <w:pPr>
        <w:spacing w:line="480" w:lineRule="auto"/>
        <w:jc w:val="center"/>
      </w:pPr>
    </w:p>
    <w:p w:rsidR="00DE026A" w:rsidRPr="00FC637C" w:rsidRDefault="00DE026A" w:rsidP="00837927">
      <w:pPr>
        <w:spacing w:line="480" w:lineRule="auto"/>
        <w:jc w:val="center"/>
      </w:pPr>
    </w:p>
    <w:p w:rsidR="00DE026A" w:rsidRPr="00FC637C" w:rsidRDefault="00DE026A" w:rsidP="00837927">
      <w:pPr>
        <w:spacing w:line="480" w:lineRule="auto"/>
        <w:jc w:val="center"/>
      </w:pPr>
      <w:r w:rsidRPr="00FC637C">
        <w:t>Presented to</w:t>
      </w:r>
    </w:p>
    <w:p w:rsidR="00DE026A" w:rsidRPr="00FC637C" w:rsidRDefault="00DE026A" w:rsidP="00837927">
      <w:pPr>
        <w:spacing w:line="480" w:lineRule="auto"/>
        <w:jc w:val="center"/>
      </w:pPr>
      <w:r w:rsidRPr="00FC637C">
        <w:t>Instructor’s Name, Course</w:t>
      </w:r>
    </w:p>
    <w:p w:rsidR="00DE026A" w:rsidRPr="00FC637C" w:rsidRDefault="00DE026A" w:rsidP="00837927">
      <w:pPr>
        <w:spacing w:line="480" w:lineRule="auto"/>
        <w:jc w:val="center"/>
      </w:pPr>
      <w:r w:rsidRPr="00FC637C">
        <w:t>Institution Name, Location</w:t>
      </w:r>
    </w:p>
    <w:p w:rsidR="00DE026A" w:rsidRPr="00FC637C" w:rsidRDefault="00DE026A" w:rsidP="00837927">
      <w:pPr>
        <w:spacing w:line="480" w:lineRule="auto"/>
        <w:jc w:val="center"/>
      </w:pPr>
      <w:r w:rsidRPr="00FC637C">
        <w:t>Date Due</w:t>
      </w:r>
    </w:p>
    <w:p w:rsidR="001D43BC" w:rsidRDefault="001D43BC" w:rsidP="00837927">
      <w:pPr>
        <w:spacing w:line="480" w:lineRule="auto"/>
      </w:pPr>
    </w:p>
    <w:p w:rsidR="00597CB9" w:rsidRDefault="00597CB9" w:rsidP="00837927">
      <w:pPr>
        <w:spacing w:line="480" w:lineRule="auto"/>
        <w:rPr>
          <w:rFonts w:eastAsia="Times New Roman"/>
          <w:b/>
          <w:lang w:eastAsia="en-GB"/>
        </w:rPr>
      </w:pPr>
      <w:r>
        <w:rPr>
          <w:b/>
        </w:rPr>
        <w:br w:type="page"/>
      </w:r>
    </w:p>
    <w:p w:rsidR="008F2BAA" w:rsidRPr="001D43BC" w:rsidRDefault="008F2BAA" w:rsidP="00837927">
      <w:pPr>
        <w:pStyle w:val="NormalWeb"/>
        <w:numPr>
          <w:ilvl w:val="0"/>
          <w:numId w:val="1"/>
        </w:numPr>
        <w:spacing w:line="480" w:lineRule="auto"/>
        <w:rPr>
          <w:b/>
        </w:rPr>
      </w:pPr>
      <w:r w:rsidRPr="001D43BC">
        <w:rPr>
          <w:b/>
        </w:rPr>
        <w:lastRenderedPageBreak/>
        <w:t>The key difference between solicitors and barristers is: barristers have higher rights of audience and solicitors do not.</w:t>
      </w:r>
      <w:r w:rsidRPr="001D43BC">
        <w:rPr>
          <w:b/>
        </w:rPr>
        <w:t xml:space="preserve"> </w:t>
      </w:r>
      <w:r w:rsidRPr="001D43BC">
        <w:rPr>
          <w:b/>
        </w:rPr>
        <w:t>Discuss this statement using examples</w:t>
      </w:r>
      <w:r w:rsidR="0022675E">
        <w:rPr>
          <w:b/>
        </w:rPr>
        <w:t xml:space="preserve">. </w:t>
      </w:r>
    </w:p>
    <w:p w:rsidR="00D8102E" w:rsidRDefault="001A2DEF" w:rsidP="00837927">
      <w:pPr>
        <w:pStyle w:val="NormalWeb"/>
        <w:spacing w:line="480" w:lineRule="auto"/>
      </w:pPr>
      <w:r>
        <w:t xml:space="preserve">According to </w:t>
      </w:r>
      <w:r w:rsidR="00E049FB" w:rsidRPr="00E049FB">
        <w:rPr>
          <w:noProof/>
          <w:lang w:val="en-US"/>
        </w:rPr>
        <w:t xml:space="preserve">European Commission for the Efficiency of Justice </w:t>
      </w:r>
      <w:r w:rsidR="00E049FB">
        <w:rPr>
          <w:noProof/>
          <w:lang w:val="en-US"/>
        </w:rPr>
        <w:t>(</w:t>
      </w:r>
      <w:r w:rsidR="00E049FB" w:rsidRPr="00E049FB">
        <w:rPr>
          <w:noProof/>
          <w:lang w:val="en-US"/>
        </w:rPr>
        <w:t>2014)</w:t>
      </w:r>
      <w:r>
        <w:t xml:space="preserve">, </w:t>
      </w:r>
      <w:r w:rsidR="00D878CC">
        <w:t xml:space="preserve">though </w:t>
      </w:r>
      <w:r w:rsidR="00192EAC">
        <w:t>solicitors and barristers</w:t>
      </w:r>
      <w:r w:rsidR="00D878CC">
        <w:t xml:space="preserve"> in England and Wales</w:t>
      </w:r>
      <w:r w:rsidR="006D37BA">
        <w:t xml:space="preserve"> play</w:t>
      </w:r>
      <w:r w:rsidR="00955286">
        <w:t xml:space="preserve"> almost similar roles in the </w:t>
      </w:r>
      <w:r w:rsidR="00415FE9">
        <w:t xml:space="preserve">legal </w:t>
      </w:r>
      <w:r w:rsidR="00A13B24">
        <w:t xml:space="preserve">profession, </w:t>
      </w:r>
      <w:r w:rsidR="00D06E4B">
        <w:t xml:space="preserve">they </w:t>
      </w:r>
      <w:r w:rsidR="00A13B24">
        <w:t xml:space="preserve">have key differences. The major difference is </w:t>
      </w:r>
      <w:r w:rsidR="005169C2">
        <w:t xml:space="preserve">that </w:t>
      </w:r>
      <w:r w:rsidR="00400C30">
        <w:t xml:space="preserve">barristers have a higher </w:t>
      </w:r>
      <w:r w:rsidR="00B52ABB">
        <w:t xml:space="preserve">rights of audience </w:t>
      </w:r>
      <w:r w:rsidR="002F508B">
        <w:t xml:space="preserve">while </w:t>
      </w:r>
      <w:r w:rsidR="003325CD">
        <w:t>so</w:t>
      </w:r>
      <w:r w:rsidR="00E95317">
        <w:t>l</w:t>
      </w:r>
      <w:r w:rsidR="003325CD">
        <w:t>icitors do not.</w:t>
      </w:r>
      <w:r w:rsidR="00D6397D">
        <w:t xml:space="preserve"> </w:t>
      </w:r>
      <w:r w:rsidR="00136B47">
        <w:t>Solicitors</w:t>
      </w:r>
      <w:r w:rsidR="00D6397D">
        <w:t xml:space="preserve"> </w:t>
      </w:r>
      <w:r w:rsidR="005C46A6">
        <w:t xml:space="preserve">deal with </w:t>
      </w:r>
      <w:r w:rsidR="0055280F">
        <w:t xml:space="preserve">the </w:t>
      </w:r>
      <w:r w:rsidR="009D2FBD">
        <w:t xml:space="preserve">public and </w:t>
      </w:r>
      <w:r w:rsidR="00433D1C">
        <w:t xml:space="preserve">interface with </w:t>
      </w:r>
      <w:r w:rsidR="0082702B">
        <w:t xml:space="preserve">the </w:t>
      </w:r>
      <w:r w:rsidR="00EF445F">
        <w:t>clients</w:t>
      </w:r>
      <w:r w:rsidR="00790747">
        <w:t xml:space="preserve">. </w:t>
      </w:r>
      <w:r w:rsidR="00B15F38">
        <w:t xml:space="preserve">They perform all the legal work </w:t>
      </w:r>
      <w:r w:rsidR="00893E9C">
        <w:t xml:space="preserve">for the clients </w:t>
      </w:r>
      <w:r w:rsidR="001C188B">
        <w:t xml:space="preserve">but lack </w:t>
      </w:r>
      <w:r w:rsidR="002B1577">
        <w:t xml:space="preserve">the rights of audience </w:t>
      </w:r>
      <w:r w:rsidR="00E63997">
        <w:t xml:space="preserve">in the </w:t>
      </w:r>
      <w:r w:rsidR="00036182">
        <w:t xml:space="preserve">higher </w:t>
      </w:r>
      <w:r w:rsidR="00E63997">
        <w:t>courts.</w:t>
      </w:r>
      <w:r w:rsidR="00C8239C">
        <w:t xml:space="preserve"> </w:t>
      </w:r>
      <w:r w:rsidR="00841604">
        <w:t>However, t</w:t>
      </w:r>
      <w:r w:rsidR="00C155DD">
        <w:t>hey have</w:t>
      </w:r>
      <w:r w:rsidR="00E000C8">
        <w:t>,</w:t>
      </w:r>
      <w:r w:rsidR="00C155DD">
        <w:t xml:space="preserve"> and can practice</w:t>
      </w:r>
      <w:r w:rsidR="001D68F7">
        <w:t xml:space="preserve"> the rights </w:t>
      </w:r>
      <w:r w:rsidR="00597D55">
        <w:t xml:space="preserve">of audience </w:t>
      </w:r>
      <w:r w:rsidR="00CC3C39">
        <w:t xml:space="preserve">in the lower courts </w:t>
      </w:r>
      <w:r w:rsidR="00F414AC">
        <w:t>which</w:t>
      </w:r>
      <w:r w:rsidR="00041ED9">
        <w:t xml:space="preserve"> comprise of the magistrates and </w:t>
      </w:r>
      <w:r w:rsidR="006B35CA">
        <w:t>count</w:t>
      </w:r>
      <w:r w:rsidR="00041ED9">
        <w:t xml:space="preserve">y courts (criminal and </w:t>
      </w:r>
      <w:r w:rsidR="0055271C">
        <w:t>civil respectively</w:t>
      </w:r>
      <w:r w:rsidR="00041ED9">
        <w:t>),</w:t>
      </w:r>
      <w:r w:rsidR="009D3F71">
        <w:t xml:space="preserve"> tribunals, and </w:t>
      </w:r>
      <w:r w:rsidR="00BC2A1B">
        <w:t xml:space="preserve">private hearings </w:t>
      </w:r>
      <w:r w:rsidR="00C3781F">
        <w:t>in the High Court (</w:t>
      </w:r>
      <w:r w:rsidR="00EB1273">
        <w:t xml:space="preserve">interlocutory </w:t>
      </w:r>
      <w:r w:rsidR="000A3FDB">
        <w:t>hearings</w:t>
      </w:r>
      <w:r w:rsidR="00C3781F">
        <w:t xml:space="preserve"> heard in chambers)</w:t>
      </w:r>
      <w:r w:rsidR="00147E7D">
        <w:t xml:space="preserve">. </w:t>
      </w:r>
      <w:r w:rsidR="00787A5F">
        <w:t xml:space="preserve">The consideration of these facts and the comparison </w:t>
      </w:r>
      <w:r w:rsidR="00452A47">
        <w:t xml:space="preserve">with </w:t>
      </w:r>
      <w:r w:rsidR="00523565">
        <w:t xml:space="preserve">the rights of audience availed to the barristers in accordance with the law depicts a major difference between </w:t>
      </w:r>
      <w:r w:rsidR="00461139">
        <w:t xml:space="preserve">the solicitors and barristers. </w:t>
      </w:r>
      <w:r w:rsidR="007F2A77">
        <w:t xml:space="preserve">According to </w:t>
      </w:r>
      <w:r w:rsidR="000707D5">
        <w:t xml:space="preserve">the law, </w:t>
      </w:r>
      <w:r w:rsidR="00945454">
        <w:t xml:space="preserve">solicitors </w:t>
      </w:r>
      <w:r w:rsidR="00AD5AEE">
        <w:t>do not</w:t>
      </w:r>
      <w:r w:rsidR="00A23CAD">
        <w:t xml:space="preserve"> have</w:t>
      </w:r>
      <w:r w:rsidR="00AD5AEE">
        <w:t xml:space="preserve"> the rights of audience </w:t>
      </w:r>
      <w:r w:rsidR="00F00336">
        <w:t>in the High Court(s)</w:t>
      </w:r>
      <w:r w:rsidR="006D2BE7">
        <w:t xml:space="preserve">, which comprise the </w:t>
      </w:r>
      <w:r w:rsidR="007E266B">
        <w:t xml:space="preserve">Crown (criminal) Court, the High Court (civil), the Court of Appeal, and the Supreme Court unless </w:t>
      </w:r>
      <w:r w:rsidR="00272460">
        <w:t xml:space="preserve">they possess the Higher Rights </w:t>
      </w:r>
      <w:r w:rsidR="00DB54E5">
        <w:t>qualification</w:t>
      </w:r>
      <w:sdt>
        <w:sdtPr>
          <w:id w:val="87584495"/>
          <w:citation/>
        </w:sdtPr>
        <w:sdtContent>
          <w:r w:rsidR="003F4ACB">
            <w:fldChar w:fldCharType="begin"/>
          </w:r>
          <w:r w:rsidR="003F4ACB">
            <w:rPr>
              <w:lang w:val="en-US"/>
            </w:rPr>
            <w:instrText xml:space="preserve"> CITATION She131 \l 1033 </w:instrText>
          </w:r>
          <w:r w:rsidR="003F4ACB">
            <w:fldChar w:fldCharType="separate"/>
          </w:r>
          <w:r w:rsidR="003F4ACB">
            <w:rPr>
              <w:noProof/>
              <w:lang w:val="en-US"/>
            </w:rPr>
            <w:t xml:space="preserve"> </w:t>
          </w:r>
          <w:r w:rsidR="003F4ACB" w:rsidRPr="003F4ACB">
            <w:rPr>
              <w:noProof/>
              <w:lang w:val="en-US"/>
            </w:rPr>
            <w:t>(Grubbs, 2013)</w:t>
          </w:r>
          <w:r w:rsidR="003F4ACB">
            <w:fldChar w:fldCharType="end"/>
          </w:r>
        </w:sdtContent>
      </w:sdt>
      <w:r w:rsidR="00DB54E5">
        <w:t xml:space="preserve">. </w:t>
      </w:r>
    </w:p>
    <w:p w:rsidR="002561CD" w:rsidRDefault="007409AE" w:rsidP="00837927">
      <w:pPr>
        <w:spacing w:line="480" w:lineRule="auto"/>
      </w:pPr>
      <w:r>
        <w:t xml:space="preserve">The barristers </w:t>
      </w:r>
      <w:r w:rsidR="00065166">
        <w:t xml:space="preserve">have </w:t>
      </w:r>
      <w:r w:rsidR="00245BBB">
        <w:t>higher rights of</w:t>
      </w:r>
      <w:r w:rsidR="00065166">
        <w:t xml:space="preserve"> audience </w:t>
      </w:r>
      <w:r w:rsidR="00DC00E3">
        <w:t xml:space="preserve">as compared </w:t>
      </w:r>
      <w:r w:rsidR="00FE47DF">
        <w:t xml:space="preserve">to solicitors. </w:t>
      </w:r>
      <w:r w:rsidR="007E5892">
        <w:t xml:space="preserve">They specialize in advocacy and as such </w:t>
      </w:r>
      <w:r w:rsidR="00394168">
        <w:t xml:space="preserve">have </w:t>
      </w:r>
      <w:r w:rsidR="0068713B">
        <w:t xml:space="preserve">higher rights of audience which allows them </w:t>
      </w:r>
      <w:r w:rsidR="00FF2CC9">
        <w:t>argue cases in court, irrespective of the level</w:t>
      </w:r>
      <w:r w:rsidR="003D4AF3">
        <w:t xml:space="preserve"> of the court</w:t>
      </w:r>
      <w:r w:rsidR="00FF2CC9">
        <w:t xml:space="preserve">. </w:t>
      </w:r>
      <w:r w:rsidR="00AD18BC">
        <w:t xml:space="preserve">For instance, while </w:t>
      </w:r>
      <w:r w:rsidR="00EA2652">
        <w:t xml:space="preserve">solicitors </w:t>
      </w:r>
      <w:r w:rsidR="00A83DBB">
        <w:t xml:space="preserve">only have </w:t>
      </w:r>
      <w:r w:rsidR="0085237F">
        <w:t xml:space="preserve">rights of audience in lower courts, </w:t>
      </w:r>
      <w:r w:rsidR="00FC32E1">
        <w:t xml:space="preserve">barristers have </w:t>
      </w:r>
      <w:r w:rsidR="0078689E">
        <w:t xml:space="preserve">rights of audience even in </w:t>
      </w:r>
      <w:r w:rsidR="00F84844">
        <w:t xml:space="preserve">higher courts such as the High Court, </w:t>
      </w:r>
      <w:r w:rsidR="00722A31">
        <w:t xml:space="preserve">the Crown Court, </w:t>
      </w:r>
      <w:r w:rsidR="002460B9">
        <w:t xml:space="preserve">the Court of Appeal, and the Supreme Court. </w:t>
      </w:r>
      <w:r w:rsidR="008B4F2A">
        <w:t xml:space="preserve">The major role of barristers </w:t>
      </w:r>
      <w:r w:rsidR="000111DA">
        <w:t xml:space="preserve">is the provision of legal </w:t>
      </w:r>
      <w:r w:rsidR="00A80E21">
        <w:t xml:space="preserve">opinion for solicitors </w:t>
      </w:r>
      <w:r w:rsidR="00406627">
        <w:t xml:space="preserve">and do so in consideration of </w:t>
      </w:r>
      <w:r w:rsidR="00AA1929">
        <w:t xml:space="preserve">particular </w:t>
      </w:r>
      <w:r w:rsidR="009C5D12">
        <w:t xml:space="preserve">question of law. </w:t>
      </w:r>
      <w:r w:rsidR="000D1912">
        <w:t xml:space="preserve">Additionally, they </w:t>
      </w:r>
      <w:r w:rsidR="003B26AD">
        <w:t xml:space="preserve">are never instructed by clients </w:t>
      </w:r>
      <w:r w:rsidR="00980E9B">
        <w:t xml:space="preserve">but by the solicitors on behalf of the clients. </w:t>
      </w:r>
      <w:r w:rsidR="00B07335">
        <w:t xml:space="preserve">Their rights </w:t>
      </w:r>
      <w:r w:rsidR="00BA5E32">
        <w:t>of audience in the higher courts is automatic in accordance with the law. On the co</w:t>
      </w:r>
      <w:r w:rsidR="00015EEF">
        <w:t xml:space="preserve">ntrary, </w:t>
      </w:r>
      <w:r w:rsidR="0068236A">
        <w:t xml:space="preserve">solicitors </w:t>
      </w:r>
      <w:r w:rsidR="00672DE6">
        <w:t xml:space="preserve">are instructed </w:t>
      </w:r>
      <w:r w:rsidR="006E438F">
        <w:t xml:space="preserve">directly by the clients </w:t>
      </w:r>
      <w:r w:rsidR="00A21824">
        <w:t xml:space="preserve">and maintain </w:t>
      </w:r>
      <w:r w:rsidR="0065350A">
        <w:t xml:space="preserve">contact with the client with only </w:t>
      </w:r>
      <w:r w:rsidR="00D03718">
        <w:t xml:space="preserve">rights of audience </w:t>
      </w:r>
      <w:r w:rsidR="00DF157E">
        <w:t>in lower courts</w:t>
      </w:r>
      <w:r w:rsidR="00130764">
        <w:t xml:space="preserve"> (the County Court and the Magistrate Court)</w:t>
      </w:r>
      <w:r w:rsidR="00F06FD1">
        <w:t xml:space="preserve"> in exception of those awarded the higher rights of audience depending on their </w:t>
      </w:r>
      <w:r w:rsidR="005C0C53">
        <w:t>experience</w:t>
      </w:r>
      <w:sdt>
        <w:sdtPr>
          <w:id w:val="-799223871"/>
          <w:citation/>
        </w:sdtPr>
        <w:sdtContent>
          <w:r w:rsidR="003F4ACB">
            <w:fldChar w:fldCharType="begin"/>
          </w:r>
          <w:r w:rsidR="003F4ACB">
            <w:rPr>
              <w:lang w:val="en-US"/>
            </w:rPr>
            <w:instrText xml:space="preserve"> CITATION Eur14 \l 1033 </w:instrText>
          </w:r>
          <w:r w:rsidR="003F4ACB">
            <w:fldChar w:fldCharType="separate"/>
          </w:r>
          <w:r w:rsidR="003F4ACB">
            <w:rPr>
              <w:noProof/>
              <w:lang w:val="en-US"/>
            </w:rPr>
            <w:t xml:space="preserve"> </w:t>
          </w:r>
          <w:r w:rsidR="003F4ACB" w:rsidRPr="003F4ACB">
            <w:rPr>
              <w:noProof/>
              <w:lang w:val="en-US"/>
            </w:rPr>
            <w:t>(European Commission for the Efficiency of Justice, 2014)</w:t>
          </w:r>
          <w:r w:rsidR="003F4ACB">
            <w:fldChar w:fldCharType="end"/>
          </w:r>
        </w:sdtContent>
      </w:sdt>
      <w:r w:rsidR="005C0C53">
        <w:t xml:space="preserve">. </w:t>
      </w:r>
      <w:r w:rsidR="009024B2">
        <w:t>However, t</w:t>
      </w:r>
      <w:r w:rsidR="00143243">
        <w:t xml:space="preserve">hey </w:t>
      </w:r>
      <w:r w:rsidR="009024B2">
        <w:t xml:space="preserve">generally </w:t>
      </w:r>
      <w:r w:rsidR="00A776E0">
        <w:t xml:space="preserve">instruct barristers, </w:t>
      </w:r>
      <w:r w:rsidR="007D62E8">
        <w:t xml:space="preserve">prepare and draft documents, advise clients, and represent them in court. </w:t>
      </w:r>
    </w:p>
    <w:p w:rsidR="00593CD9" w:rsidRDefault="004711CD" w:rsidP="00837927">
      <w:pPr>
        <w:spacing w:line="480" w:lineRule="auto"/>
      </w:pPr>
      <w:r>
        <w:t xml:space="preserve">Barristers are specialists </w:t>
      </w:r>
      <w:r w:rsidR="00872C0C">
        <w:t xml:space="preserve">given the </w:t>
      </w:r>
      <w:r w:rsidR="00B32298">
        <w:t xml:space="preserve">rights of audience </w:t>
      </w:r>
      <w:r w:rsidR="005B75C6">
        <w:t xml:space="preserve">before every court </w:t>
      </w:r>
      <w:r w:rsidR="00C04CDC">
        <w:t xml:space="preserve">but </w:t>
      </w:r>
      <w:r w:rsidR="00837BA0">
        <w:t xml:space="preserve">permitted direct </w:t>
      </w:r>
      <w:r w:rsidR="00C272A9">
        <w:t xml:space="preserve">access to a very limited rage of </w:t>
      </w:r>
      <w:r w:rsidR="001A24A5">
        <w:t xml:space="preserve">clients. </w:t>
      </w:r>
      <w:r w:rsidR="00F90FAB">
        <w:t xml:space="preserve">The </w:t>
      </w:r>
      <w:r w:rsidR="00D57137">
        <w:t xml:space="preserve">major difference between the </w:t>
      </w:r>
      <w:r w:rsidR="009C6D24">
        <w:t xml:space="preserve">two professions is </w:t>
      </w:r>
      <w:r w:rsidR="006959EB">
        <w:t xml:space="preserve">the </w:t>
      </w:r>
      <w:r w:rsidR="00B17B8A">
        <w:t xml:space="preserve">rights to audience. </w:t>
      </w:r>
      <w:r w:rsidR="00D0795D">
        <w:t xml:space="preserve">While barristers have </w:t>
      </w:r>
      <w:r w:rsidR="00F12B07">
        <w:t xml:space="preserve">rights of audience before every court, only </w:t>
      </w:r>
      <w:r w:rsidR="00AD099A">
        <w:t xml:space="preserve">solicitors with </w:t>
      </w:r>
      <w:r w:rsidR="00CC0F78">
        <w:t xml:space="preserve">sufficient experience are given the rights of audience </w:t>
      </w:r>
      <w:r w:rsidR="00F73D11">
        <w:t xml:space="preserve">before higher courts. </w:t>
      </w:r>
      <w:r w:rsidR="00A44CB8">
        <w:t xml:space="preserve">However, even in the high courts, most of the </w:t>
      </w:r>
      <w:r w:rsidR="00B46AAF">
        <w:t xml:space="preserve">instructions </w:t>
      </w:r>
      <w:r w:rsidR="00EC7453">
        <w:t xml:space="preserve">to barristers come through the solicitors. </w:t>
      </w:r>
      <w:r w:rsidR="00803229">
        <w:t xml:space="preserve">The </w:t>
      </w:r>
      <w:r w:rsidR="0024649B">
        <w:t xml:space="preserve">solicitors instruct the </w:t>
      </w:r>
      <w:r w:rsidR="006A701B">
        <w:t xml:space="preserve">barristers </w:t>
      </w:r>
      <w:r w:rsidR="009C581E">
        <w:t xml:space="preserve">to conduct </w:t>
      </w:r>
      <w:r w:rsidR="000C0694">
        <w:t xml:space="preserve">advocacy </w:t>
      </w:r>
      <w:r w:rsidR="00694029">
        <w:t xml:space="preserve">in the High Court. </w:t>
      </w:r>
      <w:r w:rsidR="0093402C">
        <w:t>While this difference is</w:t>
      </w:r>
      <w:r w:rsidR="00740196">
        <w:t xml:space="preserve"> crucial, the </w:t>
      </w:r>
      <w:r w:rsidR="00684F63">
        <w:t>judiciary</w:t>
      </w:r>
      <w:r w:rsidR="00740196">
        <w:t xml:space="preserve"> </w:t>
      </w:r>
      <w:r w:rsidR="00EB0DB7">
        <w:t xml:space="preserve">in England and Wales </w:t>
      </w:r>
      <w:r w:rsidR="003A593C">
        <w:t xml:space="preserve">are appointed from the </w:t>
      </w:r>
      <w:r w:rsidR="00684F63">
        <w:t xml:space="preserve">professions, even though a vast majority comes from experienced </w:t>
      </w:r>
      <w:r w:rsidR="002D3884">
        <w:t>barristers</w:t>
      </w:r>
      <w:sdt>
        <w:sdtPr>
          <w:id w:val="-438067907"/>
          <w:citation/>
        </w:sdtPr>
        <w:sdtContent>
          <w:r w:rsidR="003F4ACB">
            <w:fldChar w:fldCharType="begin"/>
          </w:r>
          <w:r w:rsidR="003F4ACB">
            <w:rPr>
              <w:lang w:val="en-US"/>
            </w:rPr>
            <w:instrText xml:space="preserve"> CITATION Eur14 \l 1033 </w:instrText>
          </w:r>
          <w:r w:rsidR="003F4ACB">
            <w:fldChar w:fldCharType="separate"/>
          </w:r>
          <w:r w:rsidR="003F4ACB">
            <w:rPr>
              <w:noProof/>
              <w:lang w:val="en-US"/>
            </w:rPr>
            <w:t xml:space="preserve"> </w:t>
          </w:r>
          <w:r w:rsidR="003F4ACB" w:rsidRPr="003F4ACB">
            <w:rPr>
              <w:noProof/>
              <w:lang w:val="en-US"/>
            </w:rPr>
            <w:t>(European Commission for the Efficiency of Justice, 2014)</w:t>
          </w:r>
          <w:r w:rsidR="003F4ACB">
            <w:fldChar w:fldCharType="end"/>
          </w:r>
        </w:sdtContent>
      </w:sdt>
      <w:r w:rsidR="002D3884">
        <w:t xml:space="preserve">. </w:t>
      </w:r>
      <w:r w:rsidR="003A2029">
        <w:t xml:space="preserve">All notwithstanding, in the Crown Prosecution Service, </w:t>
      </w:r>
      <w:r w:rsidR="00A047FC">
        <w:t xml:space="preserve">experienced barristers and solicitors </w:t>
      </w:r>
      <w:r w:rsidR="002A298B">
        <w:t xml:space="preserve">enjoy the rights of </w:t>
      </w:r>
      <w:r w:rsidR="00BD11DE">
        <w:t>audience</w:t>
      </w:r>
      <w:r w:rsidR="00D53A28">
        <w:t xml:space="preserve"> and</w:t>
      </w:r>
      <w:r w:rsidR="007D297C">
        <w:t xml:space="preserve"> perform almost similar roles </w:t>
      </w:r>
      <w:r w:rsidR="00814E57">
        <w:t>on qualification.</w:t>
      </w:r>
      <w:r w:rsidR="005E7F48">
        <w:t xml:space="preserve"> Irrespective of their professions, solicitors and barristers </w:t>
      </w:r>
      <w:r w:rsidR="00B81EB9">
        <w:t xml:space="preserve">undertake </w:t>
      </w:r>
      <w:r w:rsidR="000554B7">
        <w:t xml:space="preserve">CPS </w:t>
      </w:r>
      <w:r w:rsidR="0087580A">
        <w:t xml:space="preserve">training </w:t>
      </w:r>
      <w:r w:rsidR="004E394F">
        <w:t xml:space="preserve">prior to </w:t>
      </w:r>
      <w:r w:rsidR="00D01218">
        <w:t xml:space="preserve">performing roles in the Crown Court. This is done to ensure </w:t>
      </w:r>
      <w:r w:rsidR="008670F1">
        <w:t>quality and high-standard of advocacy</w:t>
      </w:r>
      <w:sdt>
        <w:sdtPr>
          <w:id w:val="182250858"/>
          <w:citation/>
        </w:sdtPr>
        <w:sdtContent>
          <w:r w:rsidR="003F4ACB">
            <w:fldChar w:fldCharType="begin"/>
          </w:r>
          <w:r w:rsidR="003F4ACB">
            <w:rPr>
              <w:lang w:val="en-US"/>
            </w:rPr>
            <w:instrText xml:space="preserve"> CITATION She131 \l 1033 </w:instrText>
          </w:r>
          <w:r w:rsidR="003F4ACB">
            <w:fldChar w:fldCharType="separate"/>
          </w:r>
          <w:r w:rsidR="003F4ACB">
            <w:rPr>
              <w:noProof/>
              <w:lang w:val="en-US"/>
            </w:rPr>
            <w:t xml:space="preserve"> </w:t>
          </w:r>
          <w:r w:rsidR="003F4ACB" w:rsidRPr="003F4ACB">
            <w:rPr>
              <w:noProof/>
              <w:lang w:val="en-US"/>
            </w:rPr>
            <w:t>(Grubbs, 2013)</w:t>
          </w:r>
          <w:r w:rsidR="003F4ACB">
            <w:fldChar w:fldCharType="end"/>
          </w:r>
        </w:sdtContent>
      </w:sdt>
      <w:r w:rsidR="008670F1">
        <w:t xml:space="preserve">. </w:t>
      </w:r>
    </w:p>
    <w:p w:rsidR="00924FB3" w:rsidRPr="00230C7D" w:rsidRDefault="00B42AD4" w:rsidP="00837927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230C7D">
        <w:rPr>
          <w:b/>
        </w:rPr>
        <w:t xml:space="preserve">(a). </w:t>
      </w:r>
      <w:r w:rsidR="00494A3A" w:rsidRPr="00230C7D">
        <w:rPr>
          <w:b/>
        </w:rPr>
        <w:t>Summary</w:t>
      </w:r>
      <w:r w:rsidR="000D2294" w:rsidRPr="00230C7D">
        <w:rPr>
          <w:b/>
        </w:rPr>
        <w:t xml:space="preserve"> of Gibson </w:t>
      </w:r>
      <w:r w:rsidR="00494A3A" w:rsidRPr="00230C7D">
        <w:rPr>
          <w:b/>
        </w:rPr>
        <w:t>(2014)</w:t>
      </w:r>
    </w:p>
    <w:p w:rsidR="00494A3A" w:rsidRDefault="00C71C09" w:rsidP="00837927">
      <w:pPr>
        <w:spacing w:line="480" w:lineRule="auto"/>
      </w:pPr>
      <w:r>
        <w:t xml:space="preserve">Kirstie Gibson offers a definitive analysis of the report of the </w:t>
      </w:r>
      <w:r w:rsidR="00BC01C3">
        <w:t xml:space="preserve">Family Task Force in consideration of the </w:t>
      </w:r>
      <w:r w:rsidR="0043433E">
        <w:t xml:space="preserve">Ministry of Justice’s response. </w:t>
      </w:r>
      <w:r w:rsidR="00D031B1">
        <w:t xml:space="preserve">The author </w:t>
      </w:r>
      <w:r w:rsidR="0011203C">
        <w:t xml:space="preserve">offers background information of </w:t>
      </w:r>
      <w:r w:rsidR="00D031B1">
        <w:t xml:space="preserve">the </w:t>
      </w:r>
      <w:r w:rsidR="00BA49F9">
        <w:t xml:space="preserve">Family Mediation </w:t>
      </w:r>
      <w:r w:rsidR="007934FF">
        <w:t>Task Force, FMTF,</w:t>
      </w:r>
      <w:r w:rsidR="0011203C">
        <w:t xml:space="preserve"> and outlines its </w:t>
      </w:r>
      <w:r w:rsidR="000E39B2">
        <w:t xml:space="preserve">importance. </w:t>
      </w:r>
      <w:r w:rsidR="009B4A2C">
        <w:t xml:space="preserve">According to the author, the </w:t>
      </w:r>
      <w:r w:rsidR="001243B8">
        <w:t xml:space="preserve">FMTF </w:t>
      </w:r>
      <w:r w:rsidR="00EC2CB4">
        <w:t xml:space="preserve">was </w:t>
      </w:r>
      <w:r w:rsidR="0007330C">
        <w:t xml:space="preserve">formed to </w:t>
      </w:r>
      <w:r w:rsidR="001F322B">
        <w:t xml:space="preserve">address concerns of </w:t>
      </w:r>
      <w:r w:rsidR="00764A4E">
        <w:t xml:space="preserve">falling </w:t>
      </w:r>
      <w:r w:rsidR="007022F8">
        <w:t xml:space="preserve">publicly-funded </w:t>
      </w:r>
      <w:r w:rsidR="00CC1DD2">
        <w:t xml:space="preserve">mediations and the rising </w:t>
      </w:r>
      <w:r w:rsidR="00F24626">
        <w:t xml:space="preserve">litigants </w:t>
      </w:r>
      <w:r w:rsidR="00A130C3">
        <w:t>in person.</w:t>
      </w:r>
      <w:r w:rsidR="0012342F">
        <w:t xml:space="preserve"> </w:t>
      </w:r>
      <w:r w:rsidR="00A10BB8">
        <w:t xml:space="preserve">The </w:t>
      </w:r>
      <w:r w:rsidR="00042CB6">
        <w:t xml:space="preserve">FMTF </w:t>
      </w:r>
      <w:r w:rsidR="004C4B7A">
        <w:t xml:space="preserve">includes representatives from the </w:t>
      </w:r>
      <w:r w:rsidR="001868BF">
        <w:t xml:space="preserve">Family Justice Council, Resolution, the Legal Aid </w:t>
      </w:r>
      <w:r w:rsidR="00CB0419">
        <w:t>Agency</w:t>
      </w:r>
      <w:r w:rsidR="000F2C9A">
        <w:t>, the Ministry of</w:t>
      </w:r>
      <w:r w:rsidR="00446D60">
        <w:t xml:space="preserve"> Justice, and Her Majesty’s </w:t>
      </w:r>
      <w:r w:rsidR="002F0FE7">
        <w:t xml:space="preserve">Courts and </w:t>
      </w:r>
      <w:r w:rsidR="00CB0419">
        <w:t>Tribunals</w:t>
      </w:r>
      <w:r w:rsidR="002F0FE7">
        <w:t xml:space="preserve"> Services. Additionally, it involves </w:t>
      </w:r>
      <w:r w:rsidR="00395DEC">
        <w:t xml:space="preserve">academics and </w:t>
      </w:r>
      <w:r w:rsidR="007C0432">
        <w:t xml:space="preserve">family law practitioners. </w:t>
      </w:r>
      <w:r w:rsidR="009B2187">
        <w:t xml:space="preserve">Gibson (2014) </w:t>
      </w:r>
      <w:r w:rsidR="00E013E4">
        <w:t xml:space="preserve">argues that there is a declining </w:t>
      </w:r>
      <w:r w:rsidR="00AA664E">
        <w:t xml:space="preserve">public spending on </w:t>
      </w:r>
      <w:r w:rsidR="000F2561">
        <w:t xml:space="preserve">mediation and </w:t>
      </w:r>
      <w:r w:rsidR="0087333C">
        <w:t xml:space="preserve">calls for the need of efficient measures to divert </w:t>
      </w:r>
      <w:r w:rsidR="00237EE4">
        <w:t xml:space="preserve">family disputes from the courts. </w:t>
      </w:r>
      <w:r w:rsidR="0022480B">
        <w:t>Using the FMTF report, the autho</w:t>
      </w:r>
      <w:r w:rsidR="003F4ACB">
        <w:t xml:space="preserve">r outlines the </w:t>
      </w:r>
      <w:r w:rsidR="00986B84">
        <w:t xml:space="preserve">issues </w:t>
      </w:r>
      <w:r w:rsidR="00262813">
        <w:t xml:space="preserve">facing the </w:t>
      </w:r>
      <w:r w:rsidR="00C129B0">
        <w:t xml:space="preserve">mediation sector </w:t>
      </w:r>
      <w:r w:rsidR="003E42DE">
        <w:t>and offers recommendation</w:t>
      </w:r>
      <w:r w:rsidR="00732D48">
        <w:t xml:space="preserve">s </w:t>
      </w:r>
      <w:r w:rsidR="003F18F3">
        <w:t>significant for encouraging</w:t>
      </w:r>
      <w:r w:rsidR="00BD4A4F">
        <w:t xml:space="preserve"> resolution of family disputes/cases out of</w:t>
      </w:r>
      <w:r w:rsidR="003D508A">
        <w:t xml:space="preserve"> court. </w:t>
      </w:r>
      <w:r w:rsidR="003F18F3">
        <w:t xml:space="preserve"> </w:t>
      </w:r>
    </w:p>
    <w:p w:rsidR="00E049FB" w:rsidRDefault="00BA5E8F" w:rsidP="00837927">
      <w:pPr>
        <w:spacing w:line="480" w:lineRule="auto"/>
      </w:pPr>
      <w:r>
        <w:t xml:space="preserve">The </w:t>
      </w:r>
      <w:r w:rsidR="00626746">
        <w:t xml:space="preserve">author asserts that there is </w:t>
      </w:r>
      <w:r w:rsidR="00F44E32">
        <w:t xml:space="preserve">a rising </w:t>
      </w:r>
      <w:r w:rsidR="00200F1E">
        <w:t xml:space="preserve">number of </w:t>
      </w:r>
      <w:r w:rsidR="00DC7658">
        <w:t xml:space="preserve">litigants </w:t>
      </w:r>
      <w:r w:rsidR="00935E92">
        <w:t xml:space="preserve">in person </w:t>
      </w:r>
      <w:r w:rsidR="00B12EBE">
        <w:t xml:space="preserve">in the </w:t>
      </w:r>
      <w:r w:rsidR="005603FB">
        <w:t xml:space="preserve">currently overloaded </w:t>
      </w:r>
      <w:r w:rsidR="002920E9">
        <w:t xml:space="preserve">family courts. </w:t>
      </w:r>
      <w:r w:rsidR="00AD06AA">
        <w:t xml:space="preserve">Gibson </w:t>
      </w:r>
      <w:r w:rsidR="008C34B3">
        <w:t xml:space="preserve">attaches the </w:t>
      </w:r>
      <w:r w:rsidR="001666E0">
        <w:t xml:space="preserve">increase in LiPs </w:t>
      </w:r>
      <w:r w:rsidR="00C54D57">
        <w:t xml:space="preserve">to the </w:t>
      </w:r>
      <w:r w:rsidR="006D2635">
        <w:t xml:space="preserve">falling publicly funded </w:t>
      </w:r>
      <w:r w:rsidR="00FD25F3">
        <w:t xml:space="preserve">mediations, the implementation of </w:t>
      </w:r>
      <w:r w:rsidR="008B1440">
        <w:t>the Legal Aid, Sentencing and Punishment of Offenders Act (</w:t>
      </w:r>
      <w:r w:rsidR="001C6166">
        <w:t>LASP</w:t>
      </w:r>
      <w:r w:rsidR="008B1440">
        <w:t>O</w:t>
      </w:r>
      <w:r w:rsidR="00C223BD">
        <w:t>A</w:t>
      </w:r>
      <w:r w:rsidR="008B1440">
        <w:t>) 2012</w:t>
      </w:r>
      <w:r w:rsidR="00FD25F3">
        <w:t xml:space="preserve">, </w:t>
      </w:r>
      <w:r w:rsidR="00117AB5">
        <w:t xml:space="preserve">and the </w:t>
      </w:r>
      <w:r w:rsidR="000640BA">
        <w:t>lack of referrals</w:t>
      </w:r>
      <w:r w:rsidR="00B344D5">
        <w:t xml:space="preserve"> to mediators by the </w:t>
      </w:r>
      <w:r w:rsidR="005478C1">
        <w:t xml:space="preserve">legal </w:t>
      </w:r>
      <w:r w:rsidR="00C97276">
        <w:t xml:space="preserve">aid lawyers. </w:t>
      </w:r>
      <w:r w:rsidR="00300945">
        <w:t xml:space="preserve">According to the </w:t>
      </w:r>
      <w:r w:rsidR="00AF7440">
        <w:t xml:space="preserve">article, the implementation of </w:t>
      </w:r>
      <w:r w:rsidR="001C6166">
        <w:t>LASP</w:t>
      </w:r>
      <w:r w:rsidR="00AF7440">
        <w:t>O</w:t>
      </w:r>
      <w:r w:rsidR="00C07E3B">
        <w:t>A</w:t>
      </w:r>
      <w:r w:rsidR="00AF7440">
        <w:t xml:space="preserve"> </w:t>
      </w:r>
      <w:r w:rsidR="00544568">
        <w:t xml:space="preserve">influenced the </w:t>
      </w:r>
      <w:r w:rsidR="003E3457">
        <w:t xml:space="preserve">landscape for </w:t>
      </w:r>
      <w:r w:rsidR="007737AA">
        <w:t xml:space="preserve">legal assistance in </w:t>
      </w:r>
      <w:r w:rsidR="008F048E">
        <w:t xml:space="preserve">family </w:t>
      </w:r>
      <w:r w:rsidR="007551EB">
        <w:t xml:space="preserve">disputes. </w:t>
      </w:r>
      <w:r w:rsidR="004F0AC8">
        <w:t xml:space="preserve">The Act removed </w:t>
      </w:r>
      <w:r w:rsidR="00BD17AB">
        <w:t xml:space="preserve">legal aid </w:t>
      </w:r>
      <w:r w:rsidR="004B53B3">
        <w:t xml:space="preserve">from </w:t>
      </w:r>
      <w:r w:rsidR="00887993">
        <w:t xml:space="preserve">most family law cases </w:t>
      </w:r>
      <w:r w:rsidR="003E181F">
        <w:t xml:space="preserve">leaving </w:t>
      </w:r>
      <w:r w:rsidR="00877359">
        <w:t xml:space="preserve">aid for family mediation and </w:t>
      </w:r>
      <w:r w:rsidR="00DE24D4">
        <w:t xml:space="preserve">help with mediation alone. </w:t>
      </w:r>
    </w:p>
    <w:p w:rsidR="0005008B" w:rsidRDefault="00D04A06" w:rsidP="00837927">
      <w:pPr>
        <w:spacing w:line="480" w:lineRule="auto"/>
      </w:pPr>
      <w:r>
        <w:t xml:space="preserve">Gibson </w:t>
      </w:r>
      <w:r w:rsidR="00D647CD">
        <w:t>outlines the various rec</w:t>
      </w:r>
      <w:r w:rsidR="004F00BE">
        <w:t xml:space="preserve">ommendations made by the FMTF </w:t>
      </w:r>
      <w:r w:rsidR="00D84AEA">
        <w:t xml:space="preserve">report that the </w:t>
      </w:r>
      <w:r w:rsidR="00D36523">
        <w:t xml:space="preserve">Ministry of Justice </w:t>
      </w:r>
      <w:r w:rsidR="00E851F5">
        <w:t xml:space="preserve">accepted, </w:t>
      </w:r>
      <w:r w:rsidR="0060276F">
        <w:t>rejected</w:t>
      </w:r>
      <w:r w:rsidR="00B32F29">
        <w:t>, and the recommendation</w:t>
      </w:r>
      <w:r w:rsidR="009C67D4">
        <w:t xml:space="preserve">s </w:t>
      </w:r>
      <w:r w:rsidR="00826518">
        <w:t xml:space="preserve">that are still considered. </w:t>
      </w:r>
      <w:r w:rsidR="00B95714">
        <w:t xml:space="preserve">Gibson concludes that </w:t>
      </w:r>
      <w:r w:rsidR="000A5A55">
        <w:t xml:space="preserve">the </w:t>
      </w:r>
      <w:r w:rsidR="006C4983">
        <w:t xml:space="preserve">even with the significant </w:t>
      </w:r>
      <w:r w:rsidR="006045A9">
        <w:t xml:space="preserve">fall </w:t>
      </w:r>
      <w:r w:rsidR="00B23FA3">
        <w:t xml:space="preserve">in the family mediation, </w:t>
      </w:r>
      <w:r w:rsidR="00D206BE">
        <w:t xml:space="preserve">the recommendations of the report </w:t>
      </w:r>
      <w:r w:rsidR="0063614C">
        <w:t xml:space="preserve">will not be implemented wholly. </w:t>
      </w:r>
      <w:r w:rsidR="00C16B34">
        <w:t xml:space="preserve">According to Gibson (2014), </w:t>
      </w:r>
      <w:r w:rsidR="002323E8">
        <w:t>the practitioners</w:t>
      </w:r>
      <w:r w:rsidR="00A71579">
        <w:t xml:space="preserve"> will await </w:t>
      </w:r>
      <w:r w:rsidR="00C2565E">
        <w:t xml:space="preserve">updates </w:t>
      </w:r>
      <w:r w:rsidR="00CD2017">
        <w:t xml:space="preserve">from the Ministry of Justice </w:t>
      </w:r>
      <w:r w:rsidR="00820156">
        <w:t>and the implementation of the</w:t>
      </w:r>
      <w:r w:rsidR="00F82FAA">
        <w:t xml:space="preserve"> Legal Aid </w:t>
      </w:r>
      <w:r w:rsidR="00D33862">
        <w:t xml:space="preserve">Agency funding </w:t>
      </w:r>
      <w:r w:rsidR="005E1E5C">
        <w:t xml:space="preserve">of non-legally </w:t>
      </w:r>
      <w:r w:rsidR="00CD2E55">
        <w:t xml:space="preserve">aided </w:t>
      </w:r>
      <w:r w:rsidR="00861AF4">
        <w:t xml:space="preserve">individuals </w:t>
      </w:r>
      <w:r w:rsidR="009C3E7B">
        <w:t xml:space="preserve">for the sessions of mediation. </w:t>
      </w:r>
      <w:r w:rsidR="00243C2D">
        <w:t xml:space="preserve">Moreover, Gibson argues that </w:t>
      </w:r>
      <w:r w:rsidR="00E17A49">
        <w:t xml:space="preserve">the process </w:t>
      </w:r>
      <w:r w:rsidR="008121E7">
        <w:t xml:space="preserve">is probably the most significant progress recorded </w:t>
      </w:r>
      <w:r w:rsidR="00ED46AD">
        <w:t xml:space="preserve">stemming from the </w:t>
      </w:r>
      <w:r w:rsidR="00EF6E92">
        <w:t xml:space="preserve">report. </w:t>
      </w:r>
      <w:r w:rsidR="00817C9E">
        <w:t>Further from the above mentioned,</w:t>
      </w:r>
      <w:r w:rsidR="00B00B08">
        <w:t xml:space="preserve"> the author argues that</w:t>
      </w:r>
      <w:r w:rsidR="00817C9E">
        <w:t xml:space="preserve"> </w:t>
      </w:r>
      <w:r w:rsidR="002E7882">
        <w:t xml:space="preserve">the </w:t>
      </w:r>
      <w:r w:rsidR="0026152E">
        <w:t xml:space="preserve">influence of the </w:t>
      </w:r>
      <w:r w:rsidR="001C6166">
        <w:t>LASP</w:t>
      </w:r>
      <w:r w:rsidR="0026152E">
        <w:t xml:space="preserve">O </w:t>
      </w:r>
      <w:r w:rsidR="000164E8">
        <w:t xml:space="preserve">Act </w:t>
      </w:r>
      <w:r w:rsidR="00305B20">
        <w:t xml:space="preserve">may or may not </w:t>
      </w:r>
      <w:r w:rsidR="0026152E">
        <w:t xml:space="preserve">cause an increase in </w:t>
      </w:r>
      <w:r w:rsidR="0005008B">
        <w:t>out-of-the-court mediations.</w:t>
      </w:r>
    </w:p>
    <w:p w:rsidR="0005008B" w:rsidRPr="00B5113D" w:rsidRDefault="0005008B" w:rsidP="00837927">
      <w:pPr>
        <w:spacing w:line="480" w:lineRule="auto"/>
        <w:rPr>
          <w:b/>
        </w:rPr>
      </w:pPr>
      <w:r w:rsidRPr="00B5113D">
        <w:rPr>
          <w:b/>
        </w:rPr>
        <w:t xml:space="preserve">(b). </w:t>
      </w:r>
      <w:r w:rsidR="00C7589A" w:rsidRPr="00B5113D">
        <w:rPr>
          <w:b/>
        </w:rPr>
        <w:t>Critically evaluate the accuracy of the following statement:</w:t>
      </w:r>
      <w:r w:rsidR="00A87430">
        <w:rPr>
          <w:b/>
        </w:rPr>
        <w:t xml:space="preserve"> </w:t>
      </w:r>
      <w:r w:rsidR="00C7589A" w:rsidRPr="00DE026A">
        <w:rPr>
          <w:b/>
        </w:rPr>
        <w:t>The Legal Aid, Sentencing and Punishment of Offenders Act (LASPOA) 2012</w:t>
      </w:r>
      <w:r w:rsidR="00C7589A" w:rsidRPr="00B5113D">
        <w:rPr>
          <w:b/>
        </w:rPr>
        <w:t xml:space="preserve"> has succeeded in the intended aim of encouraging increased use of alternative dispute resolution (ADR), such as mediation</w:t>
      </w:r>
      <w:r w:rsidR="00C7589A" w:rsidRPr="00B5113D">
        <w:rPr>
          <w:b/>
        </w:rPr>
        <w:t xml:space="preserve">. </w:t>
      </w:r>
    </w:p>
    <w:p w:rsidR="001D43BC" w:rsidRPr="00861EDC" w:rsidRDefault="001B0E81" w:rsidP="00837927">
      <w:pPr>
        <w:spacing w:line="480" w:lineRule="auto"/>
        <w:rPr>
          <w:i/>
        </w:rPr>
      </w:pPr>
      <w:r>
        <w:t xml:space="preserve">The </w:t>
      </w:r>
      <w:r w:rsidR="001C6166">
        <w:t>LASP</w:t>
      </w:r>
      <w:r w:rsidR="00D41947">
        <w:t xml:space="preserve">OA </w:t>
      </w:r>
      <w:r w:rsidR="001C6166">
        <w:t xml:space="preserve">2012 </w:t>
      </w:r>
      <w:r w:rsidR="00D41947">
        <w:t>was crea</w:t>
      </w:r>
      <w:r w:rsidR="00A8217B">
        <w:t xml:space="preserve">ted for the discouragement of </w:t>
      </w:r>
      <w:r w:rsidR="001F5DEF">
        <w:t xml:space="preserve">unnecessary and adversarial </w:t>
      </w:r>
      <w:r w:rsidR="009E3781">
        <w:t xml:space="preserve">litigation </w:t>
      </w:r>
      <w:r w:rsidR="006F7EC5">
        <w:t xml:space="preserve">at the expense of the public, </w:t>
      </w:r>
      <w:r w:rsidR="001869A5">
        <w:t xml:space="preserve">to direct </w:t>
      </w:r>
      <w:r w:rsidR="00964A3A">
        <w:t xml:space="preserve">legal </w:t>
      </w:r>
      <w:r w:rsidR="0070579F">
        <w:t>aid</w:t>
      </w:r>
      <w:r w:rsidR="00964A3A">
        <w:t xml:space="preserve"> to people who need it the most, </w:t>
      </w:r>
      <w:r w:rsidR="00A425CE">
        <w:t xml:space="preserve">improve quality </w:t>
      </w:r>
      <w:r w:rsidR="000C722C">
        <w:t xml:space="preserve">and the value </w:t>
      </w:r>
      <w:r w:rsidR="00625C26">
        <w:t xml:space="preserve">for money, and </w:t>
      </w:r>
      <w:r w:rsidR="00D85EC1">
        <w:t xml:space="preserve">ensure significant savings. The achievement of these objectives </w:t>
      </w:r>
      <w:r w:rsidR="00880CD5">
        <w:t xml:space="preserve">depended mainly on the </w:t>
      </w:r>
      <w:r w:rsidR="00912A90">
        <w:t xml:space="preserve">effectiveness of the Act in </w:t>
      </w:r>
      <w:r w:rsidR="00861EDC">
        <w:t xml:space="preserve">encouraging increased use of alternative </w:t>
      </w:r>
      <w:r w:rsidR="004E3BA3">
        <w:t xml:space="preserve">dispute resolution. </w:t>
      </w:r>
      <w:r w:rsidR="00D35AD9">
        <w:t xml:space="preserve">For instance, the Act was supposed to increase the number </w:t>
      </w:r>
      <w:r w:rsidR="003B4707">
        <w:t xml:space="preserve">of mediations and </w:t>
      </w:r>
      <w:r w:rsidR="000B30AB">
        <w:t xml:space="preserve">reduce </w:t>
      </w:r>
      <w:r w:rsidR="00D2236A">
        <w:t xml:space="preserve">the cost </w:t>
      </w:r>
      <w:r w:rsidR="00EC6D31">
        <w:t xml:space="preserve">incurred in funding </w:t>
      </w:r>
      <w:r w:rsidR="00712238">
        <w:t>other forms of dispute resolution</w:t>
      </w:r>
      <w:sdt>
        <w:sdtPr>
          <w:id w:val="2131661389"/>
          <w:citation/>
        </w:sdtPr>
        <w:sdtContent>
          <w:r w:rsidR="00527C44">
            <w:fldChar w:fldCharType="begin"/>
          </w:r>
          <w:r w:rsidR="00527C44">
            <w:rPr>
              <w:lang w:val="en-US"/>
            </w:rPr>
            <w:instrText xml:space="preserve"> CITATION Par151 \l 1033 </w:instrText>
          </w:r>
          <w:r w:rsidR="00527C44">
            <w:fldChar w:fldCharType="separate"/>
          </w:r>
          <w:r w:rsidR="00527C44">
            <w:rPr>
              <w:noProof/>
              <w:lang w:val="en-US"/>
            </w:rPr>
            <w:t xml:space="preserve"> </w:t>
          </w:r>
          <w:r w:rsidR="00527C44" w:rsidRPr="00527C44">
            <w:rPr>
              <w:noProof/>
              <w:lang w:val="en-US"/>
            </w:rPr>
            <w:t>(Parliament.UK, 2015)</w:t>
          </w:r>
          <w:r w:rsidR="00527C44">
            <w:fldChar w:fldCharType="end"/>
          </w:r>
        </w:sdtContent>
      </w:sdt>
      <w:r w:rsidR="00712238">
        <w:t xml:space="preserve">. </w:t>
      </w:r>
    </w:p>
    <w:p w:rsidR="004065FE" w:rsidRDefault="00CF1567" w:rsidP="00837927">
      <w:pPr>
        <w:spacing w:line="480" w:lineRule="auto"/>
      </w:pPr>
      <w:r>
        <w:t xml:space="preserve">Years </w:t>
      </w:r>
      <w:r w:rsidR="00C45FFA">
        <w:t xml:space="preserve">after the </w:t>
      </w:r>
      <w:r w:rsidR="002110C5">
        <w:t>creation</w:t>
      </w:r>
      <w:r w:rsidR="00C45FFA">
        <w:t xml:space="preserve"> and implementation of the Act</w:t>
      </w:r>
      <w:r w:rsidR="002110C5">
        <w:t xml:space="preserve"> it has achieved little success in</w:t>
      </w:r>
      <w:r w:rsidR="00FC61F6">
        <w:t xml:space="preserve"> encouraging the alternative dispute resolution, mainly </w:t>
      </w:r>
      <w:r w:rsidR="003B3544">
        <w:t xml:space="preserve">mediation. </w:t>
      </w:r>
      <w:r w:rsidR="00371882">
        <w:t xml:space="preserve">According to </w:t>
      </w:r>
      <w:r w:rsidR="00C94204">
        <w:t xml:space="preserve">the </w:t>
      </w:r>
      <w:r w:rsidR="00C544F3">
        <w:t>Justice Select Committee</w:t>
      </w:r>
      <w:r w:rsidR="00BB2F0C">
        <w:t xml:space="preserve">, </w:t>
      </w:r>
      <w:r w:rsidR="00A933E0">
        <w:t xml:space="preserve">the implementation of </w:t>
      </w:r>
      <w:r w:rsidR="001C6166">
        <w:t>LASP</w:t>
      </w:r>
      <w:r w:rsidR="00657436">
        <w:t>OA</w:t>
      </w:r>
      <w:r w:rsidR="00665BAA">
        <w:t xml:space="preserve"> has since </w:t>
      </w:r>
      <w:r w:rsidR="008E0379">
        <w:t xml:space="preserve">caused a </w:t>
      </w:r>
      <w:r w:rsidR="00FE1A50">
        <w:t>decrea</w:t>
      </w:r>
      <w:r w:rsidR="00721751">
        <w:t xml:space="preserve">se in the number of mediations. The </w:t>
      </w:r>
      <w:r w:rsidR="00987CBA">
        <w:t xml:space="preserve">report attaches the fall in mediation to the </w:t>
      </w:r>
      <w:r w:rsidR="00EA3F70">
        <w:t xml:space="preserve">termination of compulsory </w:t>
      </w:r>
      <w:r w:rsidR="00796404">
        <w:t xml:space="preserve">mediation assessment, which </w:t>
      </w:r>
      <w:r w:rsidR="0009238E">
        <w:t xml:space="preserve">all litigants were supposed </w:t>
      </w:r>
      <w:r w:rsidR="0071414B">
        <w:t xml:space="preserve">to </w:t>
      </w:r>
      <w:r w:rsidR="009559AC">
        <w:t xml:space="preserve">attend before receiving </w:t>
      </w:r>
      <w:r w:rsidR="00EB5BE4">
        <w:t xml:space="preserve">private family law legal aid. </w:t>
      </w:r>
      <w:r w:rsidR="00372111">
        <w:t>However, the law</w:t>
      </w:r>
      <w:r w:rsidR="00250459">
        <w:t xml:space="preserve"> removed </w:t>
      </w:r>
      <w:r w:rsidR="00192129">
        <w:t xml:space="preserve">legal aid </w:t>
      </w:r>
      <w:r w:rsidR="00411CE3">
        <w:t>from the family law causing a significant decrease in mediation</w:t>
      </w:r>
      <w:sdt>
        <w:sdtPr>
          <w:id w:val="1718630458"/>
          <w:citation/>
        </w:sdtPr>
        <w:sdtContent>
          <w:r w:rsidR="00EA786A">
            <w:fldChar w:fldCharType="begin"/>
          </w:r>
          <w:r w:rsidR="00EA786A">
            <w:rPr>
              <w:lang w:val="en-US"/>
            </w:rPr>
            <w:instrText xml:space="preserve"> CITATION The145 \l 1033 </w:instrText>
          </w:r>
          <w:r w:rsidR="00EA786A">
            <w:fldChar w:fldCharType="separate"/>
          </w:r>
          <w:r w:rsidR="00EA786A">
            <w:rPr>
              <w:noProof/>
              <w:lang w:val="en-US"/>
            </w:rPr>
            <w:t xml:space="preserve"> </w:t>
          </w:r>
          <w:r w:rsidR="00EA786A" w:rsidRPr="00EA786A">
            <w:rPr>
              <w:noProof/>
              <w:lang w:val="en-US"/>
            </w:rPr>
            <w:t>(The Bar Council, 2014)</w:t>
          </w:r>
          <w:r w:rsidR="00EA786A">
            <w:fldChar w:fldCharType="end"/>
          </w:r>
        </w:sdtContent>
      </w:sdt>
      <w:r w:rsidR="00411CE3">
        <w:t xml:space="preserve">. </w:t>
      </w:r>
      <w:r w:rsidR="001F057C">
        <w:t>However, the</w:t>
      </w:r>
      <w:r w:rsidR="00810609">
        <w:t xml:space="preserve"> implementation of </w:t>
      </w:r>
      <w:r w:rsidR="004E165B">
        <w:t xml:space="preserve">the Children and Families </w:t>
      </w:r>
      <w:r w:rsidR="0020626F">
        <w:t>Act in 2014</w:t>
      </w:r>
      <w:r w:rsidR="000D79FD">
        <w:t xml:space="preserve"> has triggered increasing mediation following its </w:t>
      </w:r>
      <w:r w:rsidR="00C60110">
        <w:t xml:space="preserve">provision that </w:t>
      </w:r>
      <w:r w:rsidR="00581C09">
        <w:t xml:space="preserve">anyone person </w:t>
      </w:r>
      <w:r w:rsidR="00223934">
        <w:t>wishing</w:t>
      </w:r>
      <w:r w:rsidR="00581C09">
        <w:t xml:space="preserve"> to issue </w:t>
      </w:r>
      <w:r w:rsidR="003C3BCE">
        <w:t xml:space="preserve">private law </w:t>
      </w:r>
      <w:r w:rsidR="00223934">
        <w:t>proceedings</w:t>
      </w:r>
      <w:r w:rsidR="005114EF">
        <w:t xml:space="preserve"> must </w:t>
      </w:r>
      <w:r w:rsidR="0084450C">
        <w:t xml:space="preserve">to the </w:t>
      </w:r>
      <w:r w:rsidR="00375861">
        <w:t xml:space="preserve">family court must </w:t>
      </w:r>
      <w:r w:rsidR="00380DE3">
        <w:t>attend the</w:t>
      </w:r>
      <w:r w:rsidR="009C7D69">
        <w:t xml:space="preserve"> Mediation Information and Assessment </w:t>
      </w:r>
      <w:r w:rsidR="00EB6DA0">
        <w:t xml:space="preserve">Meetings. </w:t>
      </w:r>
      <w:r w:rsidR="000714CE">
        <w:t xml:space="preserve">Attending the </w:t>
      </w:r>
      <w:r w:rsidR="00A148B4">
        <w:t xml:space="preserve">MIAM encourages increased use of the alternative dispute resolution </w:t>
      </w:r>
      <w:r w:rsidR="002C1564">
        <w:t>measures</w:t>
      </w:r>
      <w:sdt>
        <w:sdtPr>
          <w:id w:val="-487243994"/>
          <w:citation/>
        </w:sdtPr>
        <w:sdtContent>
          <w:r w:rsidR="00527C44">
            <w:fldChar w:fldCharType="begin"/>
          </w:r>
          <w:r w:rsidR="00527C44">
            <w:rPr>
              <w:lang w:val="en-US"/>
            </w:rPr>
            <w:instrText xml:space="preserve"> CITATION Par151 \l 1033 </w:instrText>
          </w:r>
          <w:r w:rsidR="00527C44">
            <w:fldChar w:fldCharType="separate"/>
          </w:r>
          <w:r w:rsidR="00527C44">
            <w:rPr>
              <w:noProof/>
              <w:lang w:val="en-US"/>
            </w:rPr>
            <w:t xml:space="preserve"> </w:t>
          </w:r>
          <w:r w:rsidR="00527C44" w:rsidRPr="00527C44">
            <w:rPr>
              <w:noProof/>
              <w:lang w:val="en-US"/>
            </w:rPr>
            <w:t>(Parliament.UK, 2015)</w:t>
          </w:r>
          <w:r w:rsidR="00527C44">
            <w:fldChar w:fldCharType="end"/>
          </w:r>
        </w:sdtContent>
      </w:sdt>
      <w:r w:rsidR="002C1564">
        <w:t xml:space="preserve">. However, the influence of the </w:t>
      </w:r>
      <w:r w:rsidR="00DC6D77">
        <w:t xml:space="preserve">CFA 2014 cannot be attached to the </w:t>
      </w:r>
      <w:r w:rsidR="001C6166">
        <w:t>LASP</w:t>
      </w:r>
      <w:r w:rsidR="0024722B">
        <w:t xml:space="preserve">OA. </w:t>
      </w:r>
    </w:p>
    <w:p w:rsidR="00D810EB" w:rsidRDefault="007A5F60" w:rsidP="00837927">
      <w:pPr>
        <w:spacing w:line="480" w:lineRule="auto"/>
      </w:pPr>
      <w:r>
        <w:t xml:space="preserve">Additionally, there has been an increasing </w:t>
      </w:r>
      <w:r w:rsidR="008639FE">
        <w:t>number of litigant</w:t>
      </w:r>
      <w:r w:rsidR="00463AF1">
        <w:t xml:space="preserve">s in person, especially in family courts </w:t>
      </w:r>
      <w:r w:rsidR="004A12E4">
        <w:t>since</w:t>
      </w:r>
      <w:r w:rsidR="00463AF1">
        <w:t xml:space="preserve"> the </w:t>
      </w:r>
      <w:r w:rsidR="00CA185B">
        <w:t xml:space="preserve">development and implementation of </w:t>
      </w:r>
      <w:r w:rsidR="001C6166">
        <w:t>LASP</w:t>
      </w:r>
      <w:r w:rsidR="00CA185B">
        <w:t>OA 2012</w:t>
      </w:r>
      <w:sdt>
        <w:sdtPr>
          <w:id w:val="-1842077446"/>
          <w:citation/>
        </w:sdtPr>
        <w:sdtContent>
          <w:r w:rsidR="00EA786A">
            <w:fldChar w:fldCharType="begin"/>
          </w:r>
          <w:r w:rsidR="00EA786A">
            <w:rPr>
              <w:lang w:val="en-US"/>
            </w:rPr>
            <w:instrText xml:space="preserve"> CITATION The145 \l 1033 </w:instrText>
          </w:r>
          <w:r w:rsidR="00EA786A">
            <w:fldChar w:fldCharType="separate"/>
          </w:r>
          <w:r w:rsidR="00EA786A">
            <w:rPr>
              <w:noProof/>
              <w:lang w:val="en-US"/>
            </w:rPr>
            <w:t xml:space="preserve"> </w:t>
          </w:r>
          <w:r w:rsidR="00EA786A" w:rsidRPr="00EA786A">
            <w:rPr>
              <w:noProof/>
              <w:lang w:val="en-US"/>
            </w:rPr>
            <w:t>(The Bar Council, 2014)</w:t>
          </w:r>
          <w:r w:rsidR="00EA786A">
            <w:fldChar w:fldCharType="end"/>
          </w:r>
        </w:sdtContent>
      </w:sdt>
      <w:r w:rsidR="00CA185B">
        <w:t xml:space="preserve">. </w:t>
      </w:r>
      <w:r w:rsidR="004A12E4">
        <w:t>This show</w:t>
      </w:r>
      <w:r w:rsidR="00945A25">
        <w:t xml:space="preserve">s the ineffectiveness of the Act in encouraging the </w:t>
      </w:r>
      <w:r w:rsidR="005966BC">
        <w:t xml:space="preserve">use of ADR. </w:t>
      </w:r>
      <w:r w:rsidR="008A2B7A">
        <w:t xml:space="preserve">More so, the rise of LiPs in the family court depicts that most </w:t>
      </w:r>
      <w:r w:rsidR="00B438E0">
        <w:t xml:space="preserve">litigants </w:t>
      </w:r>
      <w:r w:rsidR="002C6476">
        <w:t xml:space="preserve">do not engage </w:t>
      </w:r>
      <w:r w:rsidR="00160E5F">
        <w:t xml:space="preserve">in mediation as evident before the implementation of the law. </w:t>
      </w:r>
      <w:r w:rsidR="004F4A62">
        <w:t>As such, the Act seems to have failed in</w:t>
      </w:r>
      <w:r w:rsidR="00A74299">
        <w:t xml:space="preserve"> the achievement of one of its critical </w:t>
      </w:r>
      <w:r w:rsidR="00653D40">
        <w:t xml:space="preserve">objectives. </w:t>
      </w:r>
      <w:r w:rsidR="009E43DA">
        <w:t>The process has</w:t>
      </w:r>
      <w:r w:rsidR="001B100F">
        <w:t xml:space="preserve"> led to</w:t>
      </w:r>
      <w:r w:rsidR="00FA268B">
        <w:t xml:space="preserve"> increased delays </w:t>
      </w:r>
      <w:r w:rsidR="00657022">
        <w:t xml:space="preserve">in the courts and further burdens on the already limited </w:t>
      </w:r>
      <w:r w:rsidR="00900573">
        <w:t xml:space="preserve">court </w:t>
      </w:r>
      <w:r w:rsidR="00A234F9">
        <w:t xml:space="preserve">resources. </w:t>
      </w:r>
      <w:r w:rsidR="002E23DD">
        <w:t xml:space="preserve">These </w:t>
      </w:r>
      <w:r w:rsidR="00000618">
        <w:t>issues</w:t>
      </w:r>
      <w:r w:rsidR="002E23DD">
        <w:t xml:space="preserve"> continue to </w:t>
      </w:r>
      <w:r w:rsidR="003B1C28">
        <w:t xml:space="preserve">cause </w:t>
      </w:r>
      <w:r w:rsidR="009D1485">
        <w:t>major</w:t>
      </w:r>
      <w:r w:rsidR="00000618">
        <w:t xml:space="preserve"> concerns in the administration of justice.</w:t>
      </w:r>
      <w:r w:rsidR="00BD6E9E">
        <w:t xml:space="preserve"> In consideration of the concerns then it is clear that </w:t>
      </w:r>
      <w:r w:rsidR="00D515E4">
        <w:t xml:space="preserve">the </w:t>
      </w:r>
      <w:r w:rsidR="001C6166">
        <w:t>LA</w:t>
      </w:r>
      <w:r w:rsidR="004E48BC">
        <w:t>S</w:t>
      </w:r>
      <w:r w:rsidR="001C6166">
        <w:t>P</w:t>
      </w:r>
      <w:r w:rsidR="004E48BC">
        <w:t>OA has</w:t>
      </w:r>
      <w:r w:rsidR="006F7118">
        <w:t xml:space="preserve"> achieved insignificant success in the promotion of </w:t>
      </w:r>
      <w:r w:rsidR="003C6F83">
        <w:t>ADR, especially mediation</w:t>
      </w:r>
      <w:sdt>
        <w:sdtPr>
          <w:id w:val="-1327668566"/>
          <w:citation/>
        </w:sdtPr>
        <w:sdtContent>
          <w:r w:rsidR="00527C44">
            <w:fldChar w:fldCharType="begin"/>
          </w:r>
          <w:r w:rsidR="00527C44">
            <w:rPr>
              <w:lang w:val="en-US"/>
            </w:rPr>
            <w:instrText xml:space="preserve"> CITATION Par151 \l 1033 </w:instrText>
          </w:r>
          <w:r w:rsidR="00527C44">
            <w:fldChar w:fldCharType="separate"/>
          </w:r>
          <w:r w:rsidR="00527C44">
            <w:rPr>
              <w:noProof/>
              <w:lang w:val="en-US"/>
            </w:rPr>
            <w:t xml:space="preserve"> </w:t>
          </w:r>
          <w:r w:rsidR="00527C44" w:rsidRPr="00527C44">
            <w:rPr>
              <w:noProof/>
              <w:lang w:val="en-US"/>
            </w:rPr>
            <w:t>(Parliament.UK, 2015)</w:t>
          </w:r>
          <w:r w:rsidR="00527C44">
            <w:fldChar w:fldCharType="end"/>
          </w:r>
        </w:sdtContent>
      </w:sdt>
      <w:r w:rsidR="003C6F83">
        <w:t xml:space="preserve">. </w:t>
      </w:r>
      <w:r w:rsidR="009D1485">
        <w:t xml:space="preserve"> </w:t>
      </w:r>
    </w:p>
    <w:p w:rsidR="0073181A" w:rsidRDefault="00F407AF" w:rsidP="00837927">
      <w:pPr>
        <w:spacing w:line="480" w:lineRule="auto"/>
      </w:pPr>
      <w:r>
        <w:t xml:space="preserve">The </w:t>
      </w:r>
      <w:r w:rsidR="00AE7D84">
        <w:t xml:space="preserve">major aim of implementing </w:t>
      </w:r>
      <w:r w:rsidR="006E1C39">
        <w:t xml:space="preserve">the LASPOA was </w:t>
      </w:r>
      <w:r w:rsidR="00654E6A">
        <w:t xml:space="preserve">to encourage increased use of </w:t>
      </w:r>
      <w:r w:rsidR="004E04CD">
        <w:t xml:space="preserve">alternative dispute resolution. </w:t>
      </w:r>
      <w:r w:rsidR="003D1B23">
        <w:t xml:space="preserve">However, the consideration of the different developments since its </w:t>
      </w:r>
      <w:r w:rsidR="004A0360">
        <w:t xml:space="preserve">implementation shows its inefficiency in the achievement of its major goal. According to the report by the Justice </w:t>
      </w:r>
      <w:r w:rsidR="00D3469B">
        <w:t xml:space="preserve">Select Committee passed by the parliament, the </w:t>
      </w:r>
      <w:r w:rsidR="00E249C6">
        <w:t xml:space="preserve">Act led to </w:t>
      </w:r>
      <w:r w:rsidR="00741059">
        <w:t xml:space="preserve">a decline in the number of mediations. </w:t>
      </w:r>
      <w:r w:rsidR="00004B97">
        <w:t xml:space="preserve">As a critical ADR, the declining mediations </w:t>
      </w:r>
      <w:r w:rsidR="00B13A13">
        <w:t xml:space="preserve">present the LASPOA 2012 as </w:t>
      </w:r>
      <w:r w:rsidR="00E04C70">
        <w:t xml:space="preserve">having failed in the achievement of its goals. </w:t>
      </w:r>
      <w:r w:rsidR="00FA78E7">
        <w:t xml:space="preserve">According to the Ministry of Justice, </w:t>
      </w:r>
      <w:r w:rsidR="003C0C2A">
        <w:t xml:space="preserve">the major </w:t>
      </w:r>
      <w:r w:rsidR="00B14666">
        <w:t xml:space="preserve">cause of the declining mediations </w:t>
      </w:r>
      <w:r w:rsidR="00671F36">
        <w:t xml:space="preserve">was </w:t>
      </w:r>
      <w:r w:rsidR="002F0F45">
        <w:t xml:space="preserve">due to the </w:t>
      </w:r>
      <w:r w:rsidR="00332B9F">
        <w:t>failure to provide</w:t>
      </w:r>
      <w:r w:rsidR="000C1956">
        <w:t xml:space="preserve"> legal </w:t>
      </w:r>
      <w:r w:rsidR="00D0773F">
        <w:t xml:space="preserve">aid </w:t>
      </w:r>
      <w:r w:rsidR="00332B9F">
        <w:t xml:space="preserve">funding </w:t>
      </w:r>
      <w:r w:rsidR="006F17F4">
        <w:t xml:space="preserve">through solicitors for </w:t>
      </w:r>
      <w:r w:rsidR="000E562A">
        <w:t>family and other disputes.</w:t>
      </w:r>
      <w:r w:rsidR="00A347FE">
        <w:t xml:space="preserve"> People </w:t>
      </w:r>
      <w:r w:rsidR="00200B2C">
        <w:t>facing disputes fail to engage in mediations</w:t>
      </w:r>
      <w:r w:rsidR="00EC5D8B">
        <w:t xml:space="preserve"> </w:t>
      </w:r>
      <w:r w:rsidR="00E262CD">
        <w:t xml:space="preserve">mainly due to the lack of </w:t>
      </w:r>
      <w:r w:rsidR="000F064C">
        <w:t xml:space="preserve">involving </w:t>
      </w:r>
      <w:r w:rsidR="00461671">
        <w:t>legal aid</w:t>
      </w:r>
      <w:r w:rsidR="000F064C">
        <w:t xml:space="preserve"> </w:t>
      </w:r>
      <w:r w:rsidR="00461548">
        <w:t>lawyers</w:t>
      </w:r>
      <w:sdt>
        <w:sdtPr>
          <w:id w:val="-60722091"/>
          <w:citation/>
        </w:sdtPr>
        <w:sdtContent>
          <w:r w:rsidR="00527C44">
            <w:fldChar w:fldCharType="begin"/>
          </w:r>
          <w:r w:rsidR="00527C44">
            <w:rPr>
              <w:lang w:val="en-US"/>
            </w:rPr>
            <w:instrText xml:space="preserve"> CITATION Par151 \l 1033 </w:instrText>
          </w:r>
          <w:r w:rsidR="00527C44">
            <w:fldChar w:fldCharType="separate"/>
          </w:r>
          <w:r w:rsidR="00527C44">
            <w:rPr>
              <w:noProof/>
              <w:lang w:val="en-US"/>
            </w:rPr>
            <w:t xml:space="preserve"> </w:t>
          </w:r>
          <w:r w:rsidR="00527C44" w:rsidRPr="00527C44">
            <w:rPr>
              <w:noProof/>
              <w:lang w:val="en-US"/>
            </w:rPr>
            <w:t>(Parliament.UK, 2015)</w:t>
          </w:r>
          <w:r w:rsidR="00527C44">
            <w:fldChar w:fldCharType="end"/>
          </w:r>
        </w:sdtContent>
      </w:sdt>
      <w:r w:rsidR="00461548">
        <w:t xml:space="preserve">. </w:t>
      </w:r>
      <w:r w:rsidR="005D4F18">
        <w:t xml:space="preserve">The process, which </w:t>
      </w:r>
      <w:r w:rsidR="009B5584">
        <w:t xml:space="preserve">is directly influenced by the </w:t>
      </w:r>
      <w:r w:rsidR="00300836">
        <w:t xml:space="preserve">LASPO Act 2012, </w:t>
      </w:r>
      <w:r w:rsidR="00704B14">
        <w:t xml:space="preserve">continues to cause a declining </w:t>
      </w:r>
      <w:r w:rsidR="002821A1">
        <w:t xml:space="preserve">number of </w:t>
      </w:r>
      <w:r w:rsidR="002539AF">
        <w:t>mediations</w:t>
      </w:r>
      <w:sdt>
        <w:sdtPr>
          <w:id w:val="1750841145"/>
          <w:citation/>
        </w:sdtPr>
        <w:sdtContent>
          <w:r w:rsidR="00EA786A">
            <w:fldChar w:fldCharType="begin"/>
          </w:r>
          <w:r w:rsidR="00EA786A">
            <w:rPr>
              <w:lang w:val="en-US"/>
            </w:rPr>
            <w:instrText xml:space="preserve"> CITATION The145 \l 1033 </w:instrText>
          </w:r>
          <w:r w:rsidR="00EA786A">
            <w:fldChar w:fldCharType="separate"/>
          </w:r>
          <w:r w:rsidR="00EA786A">
            <w:rPr>
              <w:noProof/>
              <w:lang w:val="en-US"/>
            </w:rPr>
            <w:t xml:space="preserve"> </w:t>
          </w:r>
          <w:r w:rsidR="00EA786A" w:rsidRPr="00EA786A">
            <w:rPr>
              <w:noProof/>
              <w:lang w:val="en-US"/>
            </w:rPr>
            <w:t>(The Bar Council, 2014)</w:t>
          </w:r>
          <w:r w:rsidR="00EA786A">
            <w:fldChar w:fldCharType="end"/>
          </w:r>
        </w:sdtContent>
      </w:sdt>
      <w:r w:rsidR="002539AF">
        <w:t xml:space="preserve">. </w:t>
      </w:r>
      <w:r w:rsidR="008B214A">
        <w:t xml:space="preserve">As such, the </w:t>
      </w:r>
      <w:r w:rsidR="00D510BD">
        <w:t xml:space="preserve">LASPO Act has not achieved its </w:t>
      </w:r>
      <w:r w:rsidR="00F27E66">
        <w:t>intended aim of encouraging people to engage in mediations and other alternative dispute resolution</w:t>
      </w:r>
      <w:r w:rsidR="00982B1A">
        <w:t xml:space="preserve">. </w:t>
      </w:r>
    </w:p>
    <w:p w:rsidR="00B43236" w:rsidRDefault="0013190C" w:rsidP="00837927">
      <w:pPr>
        <w:spacing w:line="480" w:lineRule="auto"/>
      </w:pPr>
      <w:r>
        <w:t xml:space="preserve">In conclusion, </w:t>
      </w:r>
      <w:r w:rsidR="006932D7">
        <w:t xml:space="preserve">the </w:t>
      </w:r>
      <w:r w:rsidR="009F285E">
        <w:t xml:space="preserve">LASPO Act of 2012 has not achieved its major objective of encouraging </w:t>
      </w:r>
      <w:r w:rsidR="00611B71">
        <w:t>ADR su</w:t>
      </w:r>
      <w:r w:rsidR="00964C34">
        <w:t>c</w:t>
      </w:r>
      <w:r w:rsidR="00611B71">
        <w:t xml:space="preserve">h as mediation. </w:t>
      </w:r>
      <w:r w:rsidR="006C04D6">
        <w:t xml:space="preserve">However, the Act has </w:t>
      </w:r>
      <w:r w:rsidR="000022D5">
        <w:t xml:space="preserve">depicted </w:t>
      </w:r>
      <w:r w:rsidR="00A112BB">
        <w:t xml:space="preserve">a greater influence on </w:t>
      </w:r>
      <w:r w:rsidR="00974423">
        <w:t xml:space="preserve">the law. Its amendment to include critical </w:t>
      </w:r>
      <w:r w:rsidR="00856BD5">
        <w:t xml:space="preserve">concerns such as the </w:t>
      </w:r>
      <w:r w:rsidR="00EF4126">
        <w:t xml:space="preserve">provision </w:t>
      </w:r>
      <w:r w:rsidR="002377F9">
        <w:t xml:space="preserve">and promotion of legal aid </w:t>
      </w:r>
      <w:r w:rsidR="00CD2273">
        <w:t xml:space="preserve">as an available public service </w:t>
      </w:r>
      <w:r w:rsidR="00F37585">
        <w:t xml:space="preserve">and the </w:t>
      </w:r>
      <w:r w:rsidR="00791377">
        <w:t xml:space="preserve">consideration of the importance of solicitors and </w:t>
      </w:r>
      <w:r w:rsidR="00311583">
        <w:t xml:space="preserve">quality public information </w:t>
      </w:r>
      <w:r w:rsidR="0084590B">
        <w:t xml:space="preserve">would improve its effectiveness. </w:t>
      </w:r>
      <w:r w:rsidR="001702B1">
        <w:t xml:space="preserve">The LASPO Act 2012 should include clauses that guarantee </w:t>
      </w:r>
      <w:r w:rsidR="00987923">
        <w:t xml:space="preserve">quality public </w:t>
      </w:r>
      <w:r w:rsidR="00A169F9">
        <w:t>i</w:t>
      </w:r>
      <w:r w:rsidR="00CA54BE">
        <w:t xml:space="preserve">nformation concerning mediation, efficient accessibility of the information, and the </w:t>
      </w:r>
      <w:r w:rsidR="005B5B19">
        <w:t xml:space="preserve">compulsory </w:t>
      </w:r>
      <w:r w:rsidR="001952B2">
        <w:t>mediation assessment among others.</w:t>
      </w:r>
      <w:r w:rsidR="00C12302">
        <w:t xml:space="preserve"> In a report developed in September 2014,</w:t>
      </w:r>
      <w:r w:rsidR="001952B2">
        <w:t xml:space="preserve"> </w:t>
      </w:r>
      <w:r w:rsidR="006021F9" w:rsidRPr="00C12302">
        <w:rPr>
          <w:noProof/>
          <w:lang w:val="en-US"/>
        </w:rPr>
        <w:t>The Bar Council</w:t>
      </w:r>
      <w:r w:rsidR="006021F9">
        <w:rPr>
          <w:noProof/>
          <w:lang w:val="en-US"/>
        </w:rPr>
        <w:t xml:space="preserve"> </w:t>
      </w:r>
      <w:r w:rsidR="00C12302">
        <w:t>asserts</w:t>
      </w:r>
      <w:r w:rsidR="00D67E57">
        <w:t xml:space="preserve"> there is a need to </w:t>
      </w:r>
      <w:r w:rsidR="00FE63C9">
        <w:t xml:space="preserve">improve awareness on the services offered by the Act, </w:t>
      </w:r>
      <w:r w:rsidR="00B834F2">
        <w:t xml:space="preserve">make legal aid </w:t>
      </w:r>
      <w:r w:rsidR="007032E8">
        <w:t xml:space="preserve">a publicly available service, and </w:t>
      </w:r>
      <w:r w:rsidR="00B549F0">
        <w:t xml:space="preserve">ensure </w:t>
      </w:r>
      <w:r w:rsidR="00D61053">
        <w:t xml:space="preserve">the accessibility of information and services concerning mediation and other alternative dispute resolution </w:t>
      </w:r>
      <w:r w:rsidR="008A431C">
        <w:t xml:space="preserve">techniques. </w:t>
      </w:r>
    </w:p>
    <w:p w:rsidR="00A673B9" w:rsidRDefault="00A673B9" w:rsidP="00837927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A673B9">
        <w:rPr>
          <w:b/>
        </w:rPr>
        <w:t>List three things which you regard as essential for your exam preparation and briefly explain why.</w:t>
      </w:r>
      <w:r w:rsidRPr="00A673B9">
        <w:rPr>
          <w:b/>
        </w:rPr>
        <w:t xml:space="preserve"> </w:t>
      </w:r>
    </w:p>
    <w:p w:rsidR="00D810EB" w:rsidRDefault="00A673B9" w:rsidP="00837927">
      <w:pPr>
        <w:spacing w:line="480" w:lineRule="auto"/>
      </w:pPr>
      <w:r>
        <w:t xml:space="preserve">There are several things critical </w:t>
      </w:r>
      <w:r w:rsidR="00944691">
        <w:t xml:space="preserve">when preparing for examinations. </w:t>
      </w:r>
      <w:r w:rsidR="008647AC">
        <w:t xml:space="preserve">Personally, I find </w:t>
      </w:r>
      <w:r w:rsidR="00B21B0C">
        <w:t>effective</w:t>
      </w:r>
      <w:r w:rsidR="006C1659">
        <w:t xml:space="preserve"> note</w:t>
      </w:r>
      <w:r w:rsidR="00E90D58">
        <w:t xml:space="preserve">taking when </w:t>
      </w:r>
      <w:r w:rsidR="00790EE0">
        <w:t xml:space="preserve">studying, </w:t>
      </w:r>
      <w:r w:rsidR="00F04FCE">
        <w:t xml:space="preserve">reflection, and </w:t>
      </w:r>
      <w:r w:rsidR="00EB3233">
        <w:t xml:space="preserve">a studying schedule </w:t>
      </w:r>
      <w:r w:rsidR="00F477F8">
        <w:t>critic</w:t>
      </w:r>
      <w:r w:rsidR="002F6131">
        <w:t>al for sufficient preparation.</w:t>
      </w:r>
    </w:p>
    <w:p w:rsidR="005B3E87" w:rsidRPr="00987688" w:rsidRDefault="005B3E87" w:rsidP="00837927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987688">
        <w:rPr>
          <w:b/>
        </w:rPr>
        <w:t xml:space="preserve">Schedule </w:t>
      </w:r>
    </w:p>
    <w:p w:rsidR="005B3E87" w:rsidRDefault="005B3E87" w:rsidP="00837927">
      <w:pPr>
        <w:spacing w:line="480" w:lineRule="auto"/>
      </w:pPr>
      <w:r>
        <w:t>A learning/</w:t>
      </w:r>
      <w:r w:rsidR="006E3B3D">
        <w:t>studying</w:t>
      </w:r>
      <w:r>
        <w:t xml:space="preserve"> schedule is ess</w:t>
      </w:r>
      <w:r w:rsidR="006E3B3D">
        <w:t xml:space="preserve">ential for a balanced and smart preparation. The schedule proves important in allowing sufficient </w:t>
      </w:r>
      <w:r w:rsidR="00B5545E">
        <w:t xml:space="preserve">study time for various </w:t>
      </w:r>
      <w:r w:rsidR="00117354">
        <w:t xml:space="preserve">subjects and </w:t>
      </w:r>
      <w:r w:rsidR="00A758DB">
        <w:t xml:space="preserve">breaks during the process of preparation. </w:t>
      </w:r>
      <w:r w:rsidR="002C22AA">
        <w:t xml:space="preserve">Additionally, </w:t>
      </w:r>
      <w:r w:rsidR="00385064">
        <w:t xml:space="preserve">it helps in the preparation of all the essential examination paraphernalia. </w:t>
      </w:r>
      <w:r w:rsidR="00922A20">
        <w:t xml:space="preserve">It </w:t>
      </w:r>
      <w:r w:rsidR="0009272A">
        <w:t>includes effective allocation o</w:t>
      </w:r>
      <w:r w:rsidR="00800706">
        <w:t>f time, outlines</w:t>
      </w:r>
      <w:r w:rsidR="006F6276">
        <w:t xml:space="preserve"> when the</w:t>
      </w:r>
      <w:r w:rsidR="00155FF6">
        <w:t xml:space="preserve"> date of exam, venue, </w:t>
      </w:r>
      <w:r w:rsidR="00CB1F24">
        <w:t>the time, and</w:t>
      </w:r>
      <w:r w:rsidR="007968C1">
        <w:t xml:space="preserve"> all details that shape my preparation for exams.</w:t>
      </w:r>
      <w:r w:rsidR="0009272A">
        <w:t xml:space="preserve"> </w:t>
      </w:r>
      <w:r w:rsidR="00A92F69">
        <w:t xml:space="preserve">As such, an effective studying schedule </w:t>
      </w:r>
      <w:r w:rsidR="001B6E1F">
        <w:t xml:space="preserve">forms one of my essential </w:t>
      </w:r>
      <w:r w:rsidR="00112493">
        <w:t xml:space="preserve">tools when preparing for </w:t>
      </w:r>
      <w:r w:rsidR="00E76238">
        <w:t xml:space="preserve">an exam. </w:t>
      </w:r>
    </w:p>
    <w:p w:rsidR="002F6131" w:rsidRPr="00987688" w:rsidRDefault="002F6131" w:rsidP="00837927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987688">
        <w:rPr>
          <w:b/>
        </w:rPr>
        <w:t>Notetaking when studying</w:t>
      </w:r>
    </w:p>
    <w:p w:rsidR="008F6D04" w:rsidRDefault="004873EE" w:rsidP="00837927">
      <w:pPr>
        <w:spacing w:line="480" w:lineRule="auto"/>
      </w:pPr>
      <w:r>
        <w:t xml:space="preserve">Notetaking </w:t>
      </w:r>
      <w:r w:rsidR="00AF347D">
        <w:t xml:space="preserve">helps me understand and remember important concepts during the exam. In preparing, therefore, </w:t>
      </w:r>
      <w:r w:rsidR="00EC1B9B">
        <w:t xml:space="preserve">I focus on effective notetaking to </w:t>
      </w:r>
      <w:r w:rsidR="004E51FD">
        <w:t xml:space="preserve">ensure </w:t>
      </w:r>
      <w:r w:rsidR="0090087D">
        <w:t xml:space="preserve">sufficient understanding of the concept. </w:t>
      </w:r>
      <w:r w:rsidR="008F0BDA">
        <w:t xml:space="preserve">Additionally, the notes </w:t>
      </w:r>
      <w:r w:rsidR="00BC6EDD">
        <w:t>make last-minute revision easier and fun.</w:t>
      </w:r>
      <w:r w:rsidR="00D1198D">
        <w:t xml:space="preserve"> Even when I</w:t>
      </w:r>
      <w:r w:rsidR="008B2191">
        <w:t xml:space="preserve"> have short lecture notes, I ensure I </w:t>
      </w:r>
      <w:r w:rsidR="003D13AB">
        <w:t xml:space="preserve">take further </w:t>
      </w:r>
      <w:r w:rsidR="00F44EF3">
        <w:t xml:space="preserve">simpler notes when studying to </w:t>
      </w:r>
      <w:r w:rsidR="008B4F7D">
        <w:t>enhance my understanding.</w:t>
      </w:r>
      <w:r w:rsidR="00F17C6F">
        <w:t xml:space="preserve"> Therefore, </w:t>
      </w:r>
      <w:r w:rsidR="000479CA">
        <w:t xml:space="preserve">notetaking remains one of my </w:t>
      </w:r>
      <w:r w:rsidR="00B12B8A">
        <w:t xml:space="preserve">essential </w:t>
      </w:r>
      <w:r w:rsidR="00734976">
        <w:t xml:space="preserve">things in preparation for </w:t>
      </w:r>
      <w:r w:rsidR="008F6D04">
        <w:t xml:space="preserve">exams. </w:t>
      </w:r>
    </w:p>
    <w:p w:rsidR="002F6131" w:rsidRPr="00C07740" w:rsidRDefault="00426EBE" w:rsidP="00837927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C07740">
        <w:rPr>
          <w:b/>
        </w:rPr>
        <w:t>Reflection</w:t>
      </w:r>
    </w:p>
    <w:p w:rsidR="0053522B" w:rsidRDefault="00C35BA4" w:rsidP="00837927">
      <w:pPr>
        <w:spacing w:line="480" w:lineRule="auto"/>
      </w:pPr>
      <w:r>
        <w:t xml:space="preserve">Reflecting before, during or after reading </w:t>
      </w:r>
      <w:r w:rsidR="00DF57A7">
        <w:t xml:space="preserve">enables me to understand important concepts and remember them during the examination. </w:t>
      </w:r>
      <w:r w:rsidR="002A733E">
        <w:t>The process</w:t>
      </w:r>
      <w:r w:rsidR="000460DB">
        <w:t xml:space="preserve"> boosts comprehension and</w:t>
      </w:r>
      <w:r w:rsidR="009D2E5F">
        <w:t xml:space="preserve"> enhances understanding. I also use reflection to measure the level of my understanding </w:t>
      </w:r>
      <w:r w:rsidR="00C454CA">
        <w:t xml:space="preserve">of the various </w:t>
      </w:r>
      <w:r w:rsidR="008B2CDF">
        <w:t xml:space="preserve">units before exams. This </w:t>
      </w:r>
      <w:r w:rsidR="00CB6250">
        <w:t>allows me to</w:t>
      </w:r>
      <w:r w:rsidR="00B33F31">
        <w:t xml:space="preserve"> improve on</w:t>
      </w:r>
      <w:r w:rsidR="00141574">
        <w:t xml:space="preserve"> weak areas and maximize on</w:t>
      </w:r>
      <w:r w:rsidR="00124B49">
        <w:t xml:space="preserve"> my strong areas of the subjects. </w:t>
      </w:r>
    </w:p>
    <w:p w:rsidR="003920A4" w:rsidRDefault="003920A4" w:rsidP="00837927">
      <w:pPr>
        <w:spacing w:line="480" w:lineRule="auto"/>
        <w:jc w:val="center"/>
      </w:pPr>
      <w:r>
        <w:t xml:space="preserve">Word Count </w:t>
      </w:r>
      <w:r w:rsidR="00E6533A">
        <w:t>(</w:t>
      </w:r>
      <w:r w:rsidR="00950910">
        <w:t>19</w:t>
      </w:r>
      <w:r w:rsidR="00A773FE">
        <w:t>44</w:t>
      </w:r>
      <w:bookmarkStart w:id="0" w:name="_GoBack"/>
      <w:bookmarkEnd w:id="0"/>
      <w:r w:rsidR="00E6533A">
        <w:t>)</w:t>
      </w:r>
    </w:p>
    <w:p w:rsidR="00111BA9" w:rsidRDefault="00111BA9">
      <w:r>
        <w:br w:type="page"/>
      </w:r>
    </w:p>
    <w:p w:rsidR="00C84083" w:rsidRDefault="0053522B" w:rsidP="0025246D">
      <w:pPr>
        <w:jc w:val="center"/>
      </w:pPr>
      <w:r>
        <w:t>Bibliography</w:t>
      </w:r>
    </w:p>
    <w:p w:rsidR="00837927" w:rsidRDefault="00837927" w:rsidP="00837927">
      <w:pPr>
        <w:pStyle w:val="Bibliography"/>
        <w:rPr>
          <w:noProof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European Commission for the Efficiency of Justice, 2014. </w:t>
      </w:r>
      <w:r>
        <w:rPr>
          <w:i/>
          <w:iCs/>
          <w:noProof/>
          <w:lang w:val="en-US"/>
        </w:rPr>
        <w:t xml:space="preserve">European judicial systems (2012 data) : efficiency and quality of justice. </w:t>
      </w:r>
      <w:r>
        <w:rPr>
          <w:noProof/>
          <w:lang w:val="en-US"/>
        </w:rPr>
        <w:t>Strasbourg: Council of Europe.</w:t>
      </w:r>
    </w:p>
    <w:p w:rsidR="00837927" w:rsidRDefault="00837927" w:rsidP="00837927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Gibson, K., 2014. What lies ahead?. </w:t>
      </w:r>
      <w:r>
        <w:rPr>
          <w:i/>
          <w:iCs/>
          <w:noProof/>
          <w:lang w:val="en-US"/>
        </w:rPr>
        <w:t xml:space="preserve">New Law Journal, </w:t>
      </w:r>
      <w:r>
        <w:rPr>
          <w:noProof/>
          <w:lang w:val="en-US"/>
        </w:rPr>
        <w:t>164(7623), p. 12.</w:t>
      </w:r>
    </w:p>
    <w:p w:rsidR="00837927" w:rsidRDefault="00837927" w:rsidP="00837927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Grubbs, S. R., 2013. </w:t>
      </w:r>
      <w:r>
        <w:rPr>
          <w:i/>
          <w:iCs/>
          <w:noProof/>
          <w:lang w:val="en-US"/>
        </w:rPr>
        <w:t xml:space="preserve">International civil procedure. </w:t>
      </w:r>
      <w:r>
        <w:rPr>
          <w:noProof/>
          <w:lang w:val="en-US"/>
        </w:rPr>
        <w:t>The Hague: Kluwer Law International.</w:t>
      </w:r>
    </w:p>
    <w:p w:rsidR="00837927" w:rsidRDefault="00837927" w:rsidP="00837927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Parliament.UK, 2015. </w:t>
      </w:r>
      <w:r>
        <w:rPr>
          <w:i/>
          <w:iCs/>
          <w:noProof/>
          <w:lang w:val="en-US"/>
        </w:rPr>
        <w:t xml:space="preserve">Justice Select Committee (2014) Eighth Report Impact of changes to civil legal Aid under Part 1 of the Legal Aid, Sentencing and Punishment of Offenders Act 2012. </w:t>
      </w:r>
      <w:r>
        <w:rPr>
          <w:noProof/>
          <w:lang w:val="en-US"/>
        </w:rPr>
        <w:t xml:space="preserve">[Online] </w:t>
      </w:r>
      <w:r>
        <w:rPr>
          <w:noProof/>
          <w:lang w:val="en-US"/>
        </w:rPr>
        <w:br/>
        <w:t xml:space="preserve">Available at: </w:t>
      </w:r>
      <w:r>
        <w:rPr>
          <w:noProof/>
          <w:u w:val="single"/>
          <w:lang w:val="en-US"/>
        </w:rPr>
        <w:t>http://www.publications.parliament.uk/pa/cm201415/cmselect/cmjust/311/31102.htm</w:t>
      </w:r>
      <w:r>
        <w:rPr>
          <w:noProof/>
          <w:lang w:val="en-US"/>
        </w:rPr>
        <w:br/>
        <w:t>[Accessed 30 April 2016].</w:t>
      </w:r>
    </w:p>
    <w:p w:rsidR="00837927" w:rsidRDefault="00837927" w:rsidP="00837927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The Bar Council, 2014. </w:t>
      </w:r>
      <w:r>
        <w:rPr>
          <w:i/>
          <w:iCs/>
          <w:noProof/>
          <w:lang w:val="en-US"/>
        </w:rPr>
        <w:t xml:space="preserve">The Legal Aid, Sentencing and Punishment of Offnders Act 2012 (LASPO): One Year On - Final Report. </w:t>
      </w:r>
      <w:r>
        <w:rPr>
          <w:noProof/>
          <w:lang w:val="en-US"/>
        </w:rPr>
        <w:t xml:space="preserve">[Online] </w:t>
      </w:r>
      <w:r>
        <w:rPr>
          <w:noProof/>
          <w:lang w:val="en-US"/>
        </w:rPr>
        <w:br/>
        <w:t xml:space="preserve">Available at: </w:t>
      </w:r>
      <w:r>
        <w:rPr>
          <w:noProof/>
          <w:u w:val="single"/>
          <w:lang w:val="en-US"/>
        </w:rPr>
        <w:t>http://www.barcouncil.org.uk/media/303419/laspo_one_year_on_-_final_report__september_2014_.pdf</w:t>
      </w:r>
      <w:r>
        <w:rPr>
          <w:noProof/>
          <w:lang w:val="en-US"/>
        </w:rPr>
        <w:br/>
        <w:t>[Accessed 30 April 2016].</w:t>
      </w:r>
    </w:p>
    <w:p w:rsidR="009C7670" w:rsidRDefault="00837927" w:rsidP="00837927">
      <w:r>
        <w:fldChar w:fldCharType="end"/>
      </w:r>
    </w:p>
    <w:p w:rsidR="0025246D" w:rsidRPr="00A673B9" w:rsidRDefault="0025246D" w:rsidP="0025246D"/>
    <w:sectPr w:rsidR="0025246D" w:rsidRPr="00A673B9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0C5" w:rsidRDefault="008D10C5" w:rsidP="00597CB9">
      <w:pPr>
        <w:spacing w:after="0" w:line="240" w:lineRule="auto"/>
      </w:pPr>
      <w:r>
        <w:separator/>
      </w:r>
    </w:p>
  </w:endnote>
  <w:endnote w:type="continuationSeparator" w:id="0">
    <w:p w:rsidR="008D10C5" w:rsidRDefault="008D10C5" w:rsidP="0059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0C5" w:rsidRDefault="008D10C5" w:rsidP="00597CB9">
      <w:pPr>
        <w:spacing w:after="0" w:line="240" w:lineRule="auto"/>
      </w:pPr>
      <w:r>
        <w:separator/>
      </w:r>
    </w:p>
  </w:footnote>
  <w:footnote w:type="continuationSeparator" w:id="0">
    <w:p w:rsidR="008D10C5" w:rsidRDefault="008D10C5" w:rsidP="0059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7920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7CB9" w:rsidRDefault="00597C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0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7CB9" w:rsidRDefault="00597C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B5541"/>
    <w:multiLevelType w:val="hybridMultilevel"/>
    <w:tmpl w:val="FD02C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7070B"/>
    <w:multiLevelType w:val="hybridMultilevel"/>
    <w:tmpl w:val="A434D932"/>
    <w:lvl w:ilvl="0" w:tplc="10502D2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6B"/>
    <w:rsid w:val="00000618"/>
    <w:rsid w:val="000022D5"/>
    <w:rsid w:val="00004B97"/>
    <w:rsid w:val="00006B53"/>
    <w:rsid w:val="000111DA"/>
    <w:rsid w:val="00015EEF"/>
    <w:rsid w:val="000164E8"/>
    <w:rsid w:val="00025391"/>
    <w:rsid w:val="00036182"/>
    <w:rsid w:val="00041ED9"/>
    <w:rsid w:val="00042010"/>
    <w:rsid w:val="00042CB6"/>
    <w:rsid w:val="00043EC6"/>
    <w:rsid w:val="000460DB"/>
    <w:rsid w:val="000479CA"/>
    <w:rsid w:val="00047B06"/>
    <w:rsid w:val="0005008B"/>
    <w:rsid w:val="00052A0C"/>
    <w:rsid w:val="000554B7"/>
    <w:rsid w:val="00055B87"/>
    <w:rsid w:val="000640BA"/>
    <w:rsid w:val="00065166"/>
    <w:rsid w:val="000707D5"/>
    <w:rsid w:val="000714CE"/>
    <w:rsid w:val="00072FC8"/>
    <w:rsid w:val="0007330C"/>
    <w:rsid w:val="00074C82"/>
    <w:rsid w:val="0009238E"/>
    <w:rsid w:val="0009272A"/>
    <w:rsid w:val="000A18F8"/>
    <w:rsid w:val="000A3FDB"/>
    <w:rsid w:val="000A5A55"/>
    <w:rsid w:val="000A6819"/>
    <w:rsid w:val="000B30AB"/>
    <w:rsid w:val="000C0613"/>
    <w:rsid w:val="000C0694"/>
    <w:rsid w:val="000C1956"/>
    <w:rsid w:val="000C4719"/>
    <w:rsid w:val="000C722C"/>
    <w:rsid w:val="000C73BC"/>
    <w:rsid w:val="000D1912"/>
    <w:rsid w:val="000D2294"/>
    <w:rsid w:val="000D79FD"/>
    <w:rsid w:val="000E2207"/>
    <w:rsid w:val="000E39B2"/>
    <w:rsid w:val="000E4254"/>
    <w:rsid w:val="000E562A"/>
    <w:rsid w:val="000F064C"/>
    <w:rsid w:val="000F2561"/>
    <w:rsid w:val="000F2C9A"/>
    <w:rsid w:val="00110E0F"/>
    <w:rsid w:val="00111BA9"/>
    <w:rsid w:val="0011203C"/>
    <w:rsid w:val="00112493"/>
    <w:rsid w:val="00113AFD"/>
    <w:rsid w:val="00117354"/>
    <w:rsid w:val="00117AB5"/>
    <w:rsid w:val="0012342F"/>
    <w:rsid w:val="001243B8"/>
    <w:rsid w:val="00124B49"/>
    <w:rsid w:val="00130764"/>
    <w:rsid w:val="0013190C"/>
    <w:rsid w:val="00136B47"/>
    <w:rsid w:val="00141574"/>
    <w:rsid w:val="00143243"/>
    <w:rsid w:val="00147E7D"/>
    <w:rsid w:val="00155FF6"/>
    <w:rsid w:val="00160E5F"/>
    <w:rsid w:val="001666E0"/>
    <w:rsid w:val="001702B1"/>
    <w:rsid w:val="001868BF"/>
    <w:rsid w:val="001869A5"/>
    <w:rsid w:val="001876ED"/>
    <w:rsid w:val="00192129"/>
    <w:rsid w:val="00192EAC"/>
    <w:rsid w:val="001952B2"/>
    <w:rsid w:val="001A24A5"/>
    <w:rsid w:val="001A2DEF"/>
    <w:rsid w:val="001B0E81"/>
    <w:rsid w:val="001B100F"/>
    <w:rsid w:val="001B4369"/>
    <w:rsid w:val="001B6E1F"/>
    <w:rsid w:val="001C188B"/>
    <w:rsid w:val="001C6166"/>
    <w:rsid w:val="001D43BC"/>
    <w:rsid w:val="001D68F7"/>
    <w:rsid w:val="001F057C"/>
    <w:rsid w:val="001F322B"/>
    <w:rsid w:val="001F5DEF"/>
    <w:rsid w:val="00200B2C"/>
    <w:rsid w:val="00200F1E"/>
    <w:rsid w:val="0020626F"/>
    <w:rsid w:val="002110C5"/>
    <w:rsid w:val="0021405B"/>
    <w:rsid w:val="00222768"/>
    <w:rsid w:val="00223934"/>
    <w:rsid w:val="0022480B"/>
    <w:rsid w:val="0022675E"/>
    <w:rsid w:val="0022696C"/>
    <w:rsid w:val="00230C7D"/>
    <w:rsid w:val="002323E8"/>
    <w:rsid w:val="002323E9"/>
    <w:rsid w:val="0023554C"/>
    <w:rsid w:val="002377F9"/>
    <w:rsid w:val="00237EE4"/>
    <w:rsid w:val="00240E10"/>
    <w:rsid w:val="00243C2D"/>
    <w:rsid w:val="00245BBB"/>
    <w:rsid w:val="002460B9"/>
    <w:rsid w:val="0024649B"/>
    <w:rsid w:val="0024722B"/>
    <w:rsid w:val="00250459"/>
    <w:rsid w:val="00251909"/>
    <w:rsid w:val="0025246D"/>
    <w:rsid w:val="002539AF"/>
    <w:rsid w:val="002561CD"/>
    <w:rsid w:val="00261273"/>
    <w:rsid w:val="0026152E"/>
    <w:rsid w:val="00262813"/>
    <w:rsid w:val="00272460"/>
    <w:rsid w:val="00275447"/>
    <w:rsid w:val="002821A1"/>
    <w:rsid w:val="002920E9"/>
    <w:rsid w:val="002A298B"/>
    <w:rsid w:val="002A2D6C"/>
    <w:rsid w:val="002A733E"/>
    <w:rsid w:val="002B1577"/>
    <w:rsid w:val="002C1564"/>
    <w:rsid w:val="002C22AA"/>
    <w:rsid w:val="002C4804"/>
    <w:rsid w:val="002C6476"/>
    <w:rsid w:val="002D3884"/>
    <w:rsid w:val="002E23DD"/>
    <w:rsid w:val="002E7882"/>
    <w:rsid w:val="002F0F45"/>
    <w:rsid w:val="002F0FE7"/>
    <w:rsid w:val="002F508B"/>
    <w:rsid w:val="002F6131"/>
    <w:rsid w:val="00300836"/>
    <w:rsid w:val="00300945"/>
    <w:rsid w:val="00305B20"/>
    <w:rsid w:val="00311583"/>
    <w:rsid w:val="00321219"/>
    <w:rsid w:val="003325CD"/>
    <w:rsid w:val="00332B9F"/>
    <w:rsid w:val="00343133"/>
    <w:rsid w:val="00344B12"/>
    <w:rsid w:val="003507DF"/>
    <w:rsid w:val="00370A2E"/>
    <w:rsid w:val="00371882"/>
    <w:rsid w:val="00372111"/>
    <w:rsid w:val="00375861"/>
    <w:rsid w:val="00380DE3"/>
    <w:rsid w:val="0038451F"/>
    <w:rsid w:val="00385064"/>
    <w:rsid w:val="003920A4"/>
    <w:rsid w:val="00394168"/>
    <w:rsid w:val="00395DEC"/>
    <w:rsid w:val="003A2029"/>
    <w:rsid w:val="003A593C"/>
    <w:rsid w:val="003B1C28"/>
    <w:rsid w:val="003B26AD"/>
    <w:rsid w:val="003B3544"/>
    <w:rsid w:val="003B4707"/>
    <w:rsid w:val="003B7020"/>
    <w:rsid w:val="003C0C2A"/>
    <w:rsid w:val="003C3BCE"/>
    <w:rsid w:val="003C458F"/>
    <w:rsid w:val="003C6F83"/>
    <w:rsid w:val="003D13AB"/>
    <w:rsid w:val="003D1B23"/>
    <w:rsid w:val="003D4AF3"/>
    <w:rsid w:val="003D508A"/>
    <w:rsid w:val="003E181F"/>
    <w:rsid w:val="003E2CD7"/>
    <w:rsid w:val="003E3457"/>
    <w:rsid w:val="003E42DE"/>
    <w:rsid w:val="003F18F3"/>
    <w:rsid w:val="003F4ACB"/>
    <w:rsid w:val="00400C30"/>
    <w:rsid w:val="00402D56"/>
    <w:rsid w:val="004058D8"/>
    <w:rsid w:val="004065FE"/>
    <w:rsid w:val="00406627"/>
    <w:rsid w:val="00411CE3"/>
    <w:rsid w:val="00415FE9"/>
    <w:rsid w:val="00426EBE"/>
    <w:rsid w:val="004329F5"/>
    <w:rsid w:val="00433D1C"/>
    <w:rsid w:val="0043433E"/>
    <w:rsid w:val="00443D7D"/>
    <w:rsid w:val="00446D60"/>
    <w:rsid w:val="00452A47"/>
    <w:rsid w:val="00461139"/>
    <w:rsid w:val="00461548"/>
    <w:rsid w:val="00461671"/>
    <w:rsid w:val="004618C3"/>
    <w:rsid w:val="00463AF1"/>
    <w:rsid w:val="004654CA"/>
    <w:rsid w:val="004711CD"/>
    <w:rsid w:val="004848E3"/>
    <w:rsid w:val="004873EE"/>
    <w:rsid w:val="0049266B"/>
    <w:rsid w:val="00492FC9"/>
    <w:rsid w:val="00494A3A"/>
    <w:rsid w:val="004A0360"/>
    <w:rsid w:val="004A12E4"/>
    <w:rsid w:val="004B53B3"/>
    <w:rsid w:val="004C4B7A"/>
    <w:rsid w:val="004D1923"/>
    <w:rsid w:val="004E04CD"/>
    <w:rsid w:val="004E165B"/>
    <w:rsid w:val="004E394F"/>
    <w:rsid w:val="004E3BA3"/>
    <w:rsid w:val="004E48BC"/>
    <w:rsid w:val="004E51FD"/>
    <w:rsid w:val="004F00BE"/>
    <w:rsid w:val="004F0AC8"/>
    <w:rsid w:val="004F0B88"/>
    <w:rsid w:val="004F1246"/>
    <w:rsid w:val="004F4A62"/>
    <w:rsid w:val="005114EF"/>
    <w:rsid w:val="005169C2"/>
    <w:rsid w:val="00520B60"/>
    <w:rsid w:val="00523565"/>
    <w:rsid w:val="00527C44"/>
    <w:rsid w:val="0053522B"/>
    <w:rsid w:val="005402B6"/>
    <w:rsid w:val="00544568"/>
    <w:rsid w:val="005478C1"/>
    <w:rsid w:val="0055271C"/>
    <w:rsid w:val="0055280F"/>
    <w:rsid w:val="005603FB"/>
    <w:rsid w:val="0056481B"/>
    <w:rsid w:val="005751CA"/>
    <w:rsid w:val="00581C09"/>
    <w:rsid w:val="00593CD9"/>
    <w:rsid w:val="005966BC"/>
    <w:rsid w:val="00597CB9"/>
    <w:rsid w:val="00597D55"/>
    <w:rsid w:val="005B3E59"/>
    <w:rsid w:val="005B3E87"/>
    <w:rsid w:val="005B5B19"/>
    <w:rsid w:val="005B75C6"/>
    <w:rsid w:val="005B7791"/>
    <w:rsid w:val="005C0C53"/>
    <w:rsid w:val="005C46A6"/>
    <w:rsid w:val="005C7CA6"/>
    <w:rsid w:val="005D378B"/>
    <w:rsid w:val="005D4F18"/>
    <w:rsid w:val="005E06B6"/>
    <w:rsid w:val="005E12EE"/>
    <w:rsid w:val="005E1E5C"/>
    <w:rsid w:val="005E7F48"/>
    <w:rsid w:val="006021F9"/>
    <w:rsid w:val="0060276F"/>
    <w:rsid w:val="00603D62"/>
    <w:rsid w:val="006045A9"/>
    <w:rsid w:val="00611B71"/>
    <w:rsid w:val="00612DBB"/>
    <w:rsid w:val="006160FA"/>
    <w:rsid w:val="00623648"/>
    <w:rsid w:val="00625C26"/>
    <w:rsid w:val="00626746"/>
    <w:rsid w:val="00632F27"/>
    <w:rsid w:val="0063614C"/>
    <w:rsid w:val="00645752"/>
    <w:rsid w:val="0064632A"/>
    <w:rsid w:val="0065350A"/>
    <w:rsid w:val="00653D40"/>
    <w:rsid w:val="00654E6A"/>
    <w:rsid w:val="00657022"/>
    <w:rsid w:val="00657436"/>
    <w:rsid w:val="00660659"/>
    <w:rsid w:val="00660944"/>
    <w:rsid w:val="00665BAA"/>
    <w:rsid w:val="006677C1"/>
    <w:rsid w:val="00671F36"/>
    <w:rsid w:val="00672DE6"/>
    <w:rsid w:val="0068236A"/>
    <w:rsid w:val="006831ED"/>
    <w:rsid w:val="00684B84"/>
    <w:rsid w:val="00684F63"/>
    <w:rsid w:val="0068713B"/>
    <w:rsid w:val="006932D7"/>
    <w:rsid w:val="00694029"/>
    <w:rsid w:val="00694F91"/>
    <w:rsid w:val="006959EB"/>
    <w:rsid w:val="006A701B"/>
    <w:rsid w:val="006B35CA"/>
    <w:rsid w:val="006B476F"/>
    <w:rsid w:val="006B60AA"/>
    <w:rsid w:val="006C04D6"/>
    <w:rsid w:val="006C1659"/>
    <w:rsid w:val="006C4983"/>
    <w:rsid w:val="006C69AA"/>
    <w:rsid w:val="006D2635"/>
    <w:rsid w:val="006D2BE7"/>
    <w:rsid w:val="006D37BA"/>
    <w:rsid w:val="006D38E4"/>
    <w:rsid w:val="006E1C39"/>
    <w:rsid w:val="006E2F72"/>
    <w:rsid w:val="006E3B3D"/>
    <w:rsid w:val="006E438F"/>
    <w:rsid w:val="006F17AB"/>
    <w:rsid w:val="006F17F4"/>
    <w:rsid w:val="006F6276"/>
    <w:rsid w:val="006F7118"/>
    <w:rsid w:val="006F7EC5"/>
    <w:rsid w:val="007022F8"/>
    <w:rsid w:val="007032E8"/>
    <w:rsid w:val="00704B14"/>
    <w:rsid w:val="0070579F"/>
    <w:rsid w:val="00712238"/>
    <w:rsid w:val="0071414B"/>
    <w:rsid w:val="00721751"/>
    <w:rsid w:val="00722A31"/>
    <w:rsid w:val="0073181A"/>
    <w:rsid w:val="00732D48"/>
    <w:rsid w:val="00734976"/>
    <w:rsid w:val="00740196"/>
    <w:rsid w:val="007409AE"/>
    <w:rsid w:val="00741059"/>
    <w:rsid w:val="007551EB"/>
    <w:rsid w:val="00763891"/>
    <w:rsid w:val="00764A4E"/>
    <w:rsid w:val="007737AA"/>
    <w:rsid w:val="0078689E"/>
    <w:rsid w:val="00787A5F"/>
    <w:rsid w:val="00790747"/>
    <w:rsid w:val="00790EE0"/>
    <w:rsid w:val="00791377"/>
    <w:rsid w:val="007934FF"/>
    <w:rsid w:val="00796404"/>
    <w:rsid w:val="007968C1"/>
    <w:rsid w:val="007A5F60"/>
    <w:rsid w:val="007B4B8A"/>
    <w:rsid w:val="007C0432"/>
    <w:rsid w:val="007D297C"/>
    <w:rsid w:val="007D62E8"/>
    <w:rsid w:val="007E266B"/>
    <w:rsid w:val="007E5892"/>
    <w:rsid w:val="007F2A77"/>
    <w:rsid w:val="00800706"/>
    <w:rsid w:val="00802D4E"/>
    <w:rsid w:val="00803229"/>
    <w:rsid w:val="008068A2"/>
    <w:rsid w:val="00810609"/>
    <w:rsid w:val="008121E7"/>
    <w:rsid w:val="008147A4"/>
    <w:rsid w:val="00814E57"/>
    <w:rsid w:val="00817C9E"/>
    <w:rsid w:val="00820156"/>
    <w:rsid w:val="00826518"/>
    <w:rsid w:val="0082702B"/>
    <w:rsid w:val="00836060"/>
    <w:rsid w:val="00837927"/>
    <w:rsid w:val="00837BA0"/>
    <w:rsid w:val="00841604"/>
    <w:rsid w:val="00842E9F"/>
    <w:rsid w:val="0084450C"/>
    <w:rsid w:val="0084590B"/>
    <w:rsid w:val="0085237F"/>
    <w:rsid w:val="00854D19"/>
    <w:rsid w:val="00856BD5"/>
    <w:rsid w:val="00861AF4"/>
    <w:rsid w:val="00861EDC"/>
    <w:rsid w:val="008639FE"/>
    <w:rsid w:val="008647AC"/>
    <w:rsid w:val="008670F1"/>
    <w:rsid w:val="00872C0C"/>
    <w:rsid w:val="0087333C"/>
    <w:rsid w:val="0087580A"/>
    <w:rsid w:val="00877359"/>
    <w:rsid w:val="00880CD5"/>
    <w:rsid w:val="0088269F"/>
    <w:rsid w:val="00887993"/>
    <w:rsid w:val="00893E9C"/>
    <w:rsid w:val="008A2B7A"/>
    <w:rsid w:val="008A431C"/>
    <w:rsid w:val="008B1440"/>
    <w:rsid w:val="008B214A"/>
    <w:rsid w:val="008B2191"/>
    <w:rsid w:val="008B22CA"/>
    <w:rsid w:val="008B2BEA"/>
    <w:rsid w:val="008B2CDF"/>
    <w:rsid w:val="008B4F2A"/>
    <w:rsid w:val="008B4F7D"/>
    <w:rsid w:val="008C34B3"/>
    <w:rsid w:val="008D10C5"/>
    <w:rsid w:val="008D27CD"/>
    <w:rsid w:val="008E0379"/>
    <w:rsid w:val="008F048E"/>
    <w:rsid w:val="008F0BDA"/>
    <w:rsid w:val="008F2BAA"/>
    <w:rsid w:val="008F6D04"/>
    <w:rsid w:val="00900573"/>
    <w:rsid w:val="0090087D"/>
    <w:rsid w:val="009024B2"/>
    <w:rsid w:val="00912A90"/>
    <w:rsid w:val="009201CD"/>
    <w:rsid w:val="00921F9F"/>
    <w:rsid w:val="00922A20"/>
    <w:rsid w:val="00924FB3"/>
    <w:rsid w:val="0093402C"/>
    <w:rsid w:val="00935E92"/>
    <w:rsid w:val="009373FE"/>
    <w:rsid w:val="00944691"/>
    <w:rsid w:val="00945454"/>
    <w:rsid w:val="00945A25"/>
    <w:rsid w:val="00950910"/>
    <w:rsid w:val="00955286"/>
    <w:rsid w:val="009559AC"/>
    <w:rsid w:val="0096136A"/>
    <w:rsid w:val="00964A3A"/>
    <w:rsid w:val="00964C34"/>
    <w:rsid w:val="00967980"/>
    <w:rsid w:val="00974423"/>
    <w:rsid w:val="00980E9B"/>
    <w:rsid w:val="00982B1A"/>
    <w:rsid w:val="00986B84"/>
    <w:rsid w:val="00987688"/>
    <w:rsid w:val="00987923"/>
    <w:rsid w:val="00987CBA"/>
    <w:rsid w:val="00993E12"/>
    <w:rsid w:val="009B2187"/>
    <w:rsid w:val="009B4A2C"/>
    <w:rsid w:val="009B5584"/>
    <w:rsid w:val="009C3E7B"/>
    <w:rsid w:val="009C581E"/>
    <w:rsid w:val="009C5D12"/>
    <w:rsid w:val="009C67D4"/>
    <w:rsid w:val="009C6D24"/>
    <w:rsid w:val="009C7670"/>
    <w:rsid w:val="009C7CB9"/>
    <w:rsid w:val="009C7D69"/>
    <w:rsid w:val="009D055D"/>
    <w:rsid w:val="009D1485"/>
    <w:rsid w:val="009D2E5F"/>
    <w:rsid w:val="009D2FBD"/>
    <w:rsid w:val="009D3F71"/>
    <w:rsid w:val="009D4E55"/>
    <w:rsid w:val="009D71A7"/>
    <w:rsid w:val="009E3781"/>
    <w:rsid w:val="009E43DA"/>
    <w:rsid w:val="009F285E"/>
    <w:rsid w:val="00A047FC"/>
    <w:rsid w:val="00A0484D"/>
    <w:rsid w:val="00A10BB8"/>
    <w:rsid w:val="00A112BB"/>
    <w:rsid w:val="00A130C3"/>
    <w:rsid w:val="00A13B24"/>
    <w:rsid w:val="00A148B4"/>
    <w:rsid w:val="00A169F9"/>
    <w:rsid w:val="00A21824"/>
    <w:rsid w:val="00A234F9"/>
    <w:rsid w:val="00A23717"/>
    <w:rsid w:val="00A23CAD"/>
    <w:rsid w:val="00A300B3"/>
    <w:rsid w:val="00A347FE"/>
    <w:rsid w:val="00A35E3E"/>
    <w:rsid w:val="00A40031"/>
    <w:rsid w:val="00A425CE"/>
    <w:rsid w:val="00A44CB8"/>
    <w:rsid w:val="00A5321D"/>
    <w:rsid w:val="00A55B15"/>
    <w:rsid w:val="00A6018D"/>
    <w:rsid w:val="00A66AF2"/>
    <w:rsid w:val="00A673B9"/>
    <w:rsid w:val="00A71579"/>
    <w:rsid w:val="00A74299"/>
    <w:rsid w:val="00A758DB"/>
    <w:rsid w:val="00A773FE"/>
    <w:rsid w:val="00A776E0"/>
    <w:rsid w:val="00A80E21"/>
    <w:rsid w:val="00A8217B"/>
    <w:rsid w:val="00A83DBB"/>
    <w:rsid w:val="00A87430"/>
    <w:rsid w:val="00A913F0"/>
    <w:rsid w:val="00A92F69"/>
    <w:rsid w:val="00A933E0"/>
    <w:rsid w:val="00AA1929"/>
    <w:rsid w:val="00AA34F2"/>
    <w:rsid w:val="00AA664E"/>
    <w:rsid w:val="00AD06AA"/>
    <w:rsid w:val="00AD099A"/>
    <w:rsid w:val="00AD18BC"/>
    <w:rsid w:val="00AD5AEE"/>
    <w:rsid w:val="00AE7D84"/>
    <w:rsid w:val="00AF347D"/>
    <w:rsid w:val="00AF5D8C"/>
    <w:rsid w:val="00AF7440"/>
    <w:rsid w:val="00AF7D53"/>
    <w:rsid w:val="00B00B08"/>
    <w:rsid w:val="00B04F38"/>
    <w:rsid w:val="00B07335"/>
    <w:rsid w:val="00B115D5"/>
    <w:rsid w:val="00B12B8A"/>
    <w:rsid w:val="00B12EBE"/>
    <w:rsid w:val="00B13A13"/>
    <w:rsid w:val="00B14666"/>
    <w:rsid w:val="00B15F38"/>
    <w:rsid w:val="00B16CED"/>
    <w:rsid w:val="00B17B8A"/>
    <w:rsid w:val="00B21B0C"/>
    <w:rsid w:val="00B23FA3"/>
    <w:rsid w:val="00B32298"/>
    <w:rsid w:val="00B32F29"/>
    <w:rsid w:val="00B33F31"/>
    <w:rsid w:val="00B344D5"/>
    <w:rsid w:val="00B35606"/>
    <w:rsid w:val="00B42AD4"/>
    <w:rsid w:val="00B43236"/>
    <w:rsid w:val="00B438E0"/>
    <w:rsid w:val="00B46AAF"/>
    <w:rsid w:val="00B5113D"/>
    <w:rsid w:val="00B52ABB"/>
    <w:rsid w:val="00B549F0"/>
    <w:rsid w:val="00B5545E"/>
    <w:rsid w:val="00B75A4E"/>
    <w:rsid w:val="00B81EB9"/>
    <w:rsid w:val="00B834F2"/>
    <w:rsid w:val="00B8522A"/>
    <w:rsid w:val="00B92384"/>
    <w:rsid w:val="00B95714"/>
    <w:rsid w:val="00BA49F9"/>
    <w:rsid w:val="00BA5E32"/>
    <w:rsid w:val="00BA5E8F"/>
    <w:rsid w:val="00BB2F0C"/>
    <w:rsid w:val="00BC01C3"/>
    <w:rsid w:val="00BC2A1B"/>
    <w:rsid w:val="00BC6EDD"/>
    <w:rsid w:val="00BD11DE"/>
    <w:rsid w:val="00BD17AB"/>
    <w:rsid w:val="00BD3630"/>
    <w:rsid w:val="00BD4A4F"/>
    <w:rsid w:val="00BD6E9E"/>
    <w:rsid w:val="00C02F53"/>
    <w:rsid w:val="00C04CDC"/>
    <w:rsid w:val="00C07740"/>
    <w:rsid w:val="00C07E3B"/>
    <w:rsid w:val="00C12302"/>
    <w:rsid w:val="00C129B0"/>
    <w:rsid w:val="00C155DD"/>
    <w:rsid w:val="00C16B34"/>
    <w:rsid w:val="00C17AC4"/>
    <w:rsid w:val="00C223BD"/>
    <w:rsid w:val="00C24820"/>
    <w:rsid w:val="00C2565E"/>
    <w:rsid w:val="00C272A9"/>
    <w:rsid w:val="00C35BA4"/>
    <w:rsid w:val="00C3781F"/>
    <w:rsid w:val="00C454CA"/>
    <w:rsid w:val="00C45FFA"/>
    <w:rsid w:val="00C50F7D"/>
    <w:rsid w:val="00C544F3"/>
    <w:rsid w:val="00C54D57"/>
    <w:rsid w:val="00C60110"/>
    <w:rsid w:val="00C667EF"/>
    <w:rsid w:val="00C71C09"/>
    <w:rsid w:val="00C7589A"/>
    <w:rsid w:val="00C8239C"/>
    <w:rsid w:val="00C84083"/>
    <w:rsid w:val="00C94204"/>
    <w:rsid w:val="00C97276"/>
    <w:rsid w:val="00CA0217"/>
    <w:rsid w:val="00CA185B"/>
    <w:rsid w:val="00CA54BE"/>
    <w:rsid w:val="00CB0419"/>
    <w:rsid w:val="00CB1F24"/>
    <w:rsid w:val="00CB422B"/>
    <w:rsid w:val="00CB59E1"/>
    <w:rsid w:val="00CB6250"/>
    <w:rsid w:val="00CC0F78"/>
    <w:rsid w:val="00CC1DD2"/>
    <w:rsid w:val="00CC3C39"/>
    <w:rsid w:val="00CD2017"/>
    <w:rsid w:val="00CD2273"/>
    <w:rsid w:val="00CD2E55"/>
    <w:rsid w:val="00CD686A"/>
    <w:rsid w:val="00CF1567"/>
    <w:rsid w:val="00CF24B9"/>
    <w:rsid w:val="00D01218"/>
    <w:rsid w:val="00D031B1"/>
    <w:rsid w:val="00D03718"/>
    <w:rsid w:val="00D04A06"/>
    <w:rsid w:val="00D04A39"/>
    <w:rsid w:val="00D055F6"/>
    <w:rsid w:val="00D06E4B"/>
    <w:rsid w:val="00D0773F"/>
    <w:rsid w:val="00D0795D"/>
    <w:rsid w:val="00D1198D"/>
    <w:rsid w:val="00D12EA9"/>
    <w:rsid w:val="00D156C7"/>
    <w:rsid w:val="00D206BE"/>
    <w:rsid w:val="00D2236A"/>
    <w:rsid w:val="00D2757B"/>
    <w:rsid w:val="00D33862"/>
    <w:rsid w:val="00D3469B"/>
    <w:rsid w:val="00D35AD9"/>
    <w:rsid w:val="00D36523"/>
    <w:rsid w:val="00D41947"/>
    <w:rsid w:val="00D510BD"/>
    <w:rsid w:val="00D515E4"/>
    <w:rsid w:val="00D5168B"/>
    <w:rsid w:val="00D53A28"/>
    <w:rsid w:val="00D57137"/>
    <w:rsid w:val="00D61053"/>
    <w:rsid w:val="00D6397D"/>
    <w:rsid w:val="00D647CD"/>
    <w:rsid w:val="00D67E57"/>
    <w:rsid w:val="00D70A8D"/>
    <w:rsid w:val="00D810EB"/>
    <w:rsid w:val="00D83B46"/>
    <w:rsid w:val="00D84AEA"/>
    <w:rsid w:val="00D85EC1"/>
    <w:rsid w:val="00D878CC"/>
    <w:rsid w:val="00DB54E5"/>
    <w:rsid w:val="00DC00E3"/>
    <w:rsid w:val="00DC6D77"/>
    <w:rsid w:val="00DC7658"/>
    <w:rsid w:val="00DE026A"/>
    <w:rsid w:val="00DE24D4"/>
    <w:rsid w:val="00DF157E"/>
    <w:rsid w:val="00DF57A7"/>
    <w:rsid w:val="00E000C8"/>
    <w:rsid w:val="00E013E4"/>
    <w:rsid w:val="00E049FB"/>
    <w:rsid w:val="00E04C70"/>
    <w:rsid w:val="00E14AC5"/>
    <w:rsid w:val="00E17A49"/>
    <w:rsid w:val="00E249C6"/>
    <w:rsid w:val="00E262CD"/>
    <w:rsid w:val="00E37C2C"/>
    <w:rsid w:val="00E63997"/>
    <w:rsid w:val="00E6533A"/>
    <w:rsid w:val="00E76238"/>
    <w:rsid w:val="00E84347"/>
    <w:rsid w:val="00E851F5"/>
    <w:rsid w:val="00E90D58"/>
    <w:rsid w:val="00E95317"/>
    <w:rsid w:val="00EA2652"/>
    <w:rsid w:val="00EA3F70"/>
    <w:rsid w:val="00EA786A"/>
    <w:rsid w:val="00EB0DB7"/>
    <w:rsid w:val="00EB1273"/>
    <w:rsid w:val="00EB3233"/>
    <w:rsid w:val="00EB3462"/>
    <w:rsid w:val="00EB5BE4"/>
    <w:rsid w:val="00EB6DA0"/>
    <w:rsid w:val="00EC1B9B"/>
    <w:rsid w:val="00EC2CB4"/>
    <w:rsid w:val="00EC5D8B"/>
    <w:rsid w:val="00EC6D31"/>
    <w:rsid w:val="00EC7453"/>
    <w:rsid w:val="00ED46AD"/>
    <w:rsid w:val="00EE50DA"/>
    <w:rsid w:val="00EE5F5F"/>
    <w:rsid w:val="00EF4126"/>
    <w:rsid w:val="00EF445F"/>
    <w:rsid w:val="00EF6E92"/>
    <w:rsid w:val="00EF7C33"/>
    <w:rsid w:val="00F00336"/>
    <w:rsid w:val="00F01723"/>
    <w:rsid w:val="00F04FCE"/>
    <w:rsid w:val="00F06FD1"/>
    <w:rsid w:val="00F12B07"/>
    <w:rsid w:val="00F17989"/>
    <w:rsid w:val="00F17C6F"/>
    <w:rsid w:val="00F20A9D"/>
    <w:rsid w:val="00F24626"/>
    <w:rsid w:val="00F26000"/>
    <w:rsid w:val="00F27E66"/>
    <w:rsid w:val="00F37585"/>
    <w:rsid w:val="00F407AF"/>
    <w:rsid w:val="00F414AC"/>
    <w:rsid w:val="00F44E32"/>
    <w:rsid w:val="00F44EF3"/>
    <w:rsid w:val="00F46AC9"/>
    <w:rsid w:val="00F477F8"/>
    <w:rsid w:val="00F50269"/>
    <w:rsid w:val="00F61758"/>
    <w:rsid w:val="00F63595"/>
    <w:rsid w:val="00F67A42"/>
    <w:rsid w:val="00F73D11"/>
    <w:rsid w:val="00F76A83"/>
    <w:rsid w:val="00F82FAA"/>
    <w:rsid w:val="00F84844"/>
    <w:rsid w:val="00F8542F"/>
    <w:rsid w:val="00F90FAB"/>
    <w:rsid w:val="00FA268B"/>
    <w:rsid w:val="00FA78E7"/>
    <w:rsid w:val="00FB2DEE"/>
    <w:rsid w:val="00FB7322"/>
    <w:rsid w:val="00FC1E6B"/>
    <w:rsid w:val="00FC32E1"/>
    <w:rsid w:val="00FC5B73"/>
    <w:rsid w:val="00FC61F6"/>
    <w:rsid w:val="00FD1063"/>
    <w:rsid w:val="00FD25F3"/>
    <w:rsid w:val="00FE1A50"/>
    <w:rsid w:val="00FE47DF"/>
    <w:rsid w:val="00FE63C9"/>
    <w:rsid w:val="00FF1BA0"/>
    <w:rsid w:val="00F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ABBEF-00F5-4843-992B-E178BCEA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BAA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paragraph" w:styleId="ListParagraph">
    <w:name w:val="List Paragraph"/>
    <w:basedOn w:val="Normal"/>
    <w:uiPriority w:val="34"/>
    <w:qFormat/>
    <w:rsid w:val="00A60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CB9"/>
  </w:style>
  <w:style w:type="paragraph" w:styleId="Footer">
    <w:name w:val="footer"/>
    <w:basedOn w:val="Normal"/>
    <w:link w:val="FooterChar"/>
    <w:uiPriority w:val="99"/>
    <w:unhideWhenUsed/>
    <w:rsid w:val="00597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CB9"/>
  </w:style>
  <w:style w:type="paragraph" w:styleId="Bibliography">
    <w:name w:val="Bibliography"/>
    <w:basedOn w:val="Normal"/>
    <w:next w:val="Normal"/>
    <w:uiPriority w:val="37"/>
    <w:unhideWhenUsed/>
    <w:rsid w:val="0083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Eur14</b:Tag>
    <b:SourceType>Book</b:SourceType>
    <b:Guid>{7FC09335-CD03-4B3E-84F2-7A07C12E8228}</b:Guid>
    <b:Author>
      <b:Author>
        <b:Corporate>European Commission for the Efficiency of Justice</b:Corporate>
      </b:Author>
    </b:Author>
    <b:Title>European judicial systems (2012 data) : efficiency and quality of justice</b:Title>
    <b:Year>2014</b:Year>
    <b:City>Strasbourg</b:City>
    <b:Publisher>Council of Europe</b:Publisher>
    <b:RefOrder>2</b:RefOrder>
  </b:Source>
  <b:Source>
    <b:Tag>She131</b:Tag>
    <b:SourceType>Book</b:SourceType>
    <b:Guid>{884655CF-6BA9-4DFE-B5DB-C1881ACEB9E3}</b:Guid>
    <b:Author>
      <b:Author>
        <b:NameList>
          <b:Person>
            <b:Last>Grubbs</b:Last>
            <b:First>Shelby</b:First>
            <b:Middle>R</b:Middle>
          </b:Person>
        </b:NameList>
      </b:Author>
    </b:Author>
    <b:Title>International civil procedure</b:Title>
    <b:Year>2013</b:Year>
    <b:City>The Hague</b:City>
    <b:Publisher>Kluwer Law International</b:Publisher>
    <b:RefOrder>1</b:RefOrder>
  </b:Source>
  <b:Source>
    <b:Tag>Par151</b:Tag>
    <b:SourceType>InternetSite</b:SourceType>
    <b:Guid>{AAE9EBAD-0C78-4306-82A7-3C51555A9CA0}</b:Guid>
    <b:Title>Justice Select Committee (2014) Eighth Report Impact of changes to civil legal Aid under Part 1 of the Legal Aid, Sentencing and Punishment of Offenders Act 2012</b:Title>
    <b:Year>2015</b:Year>
    <b:Author>
      <b:Author>
        <b:Corporate>Parliament.UK</b:Corporate>
      </b:Author>
    </b:Author>
    <b:YearAccessed>2016</b:YearAccessed>
    <b:MonthAccessed>April</b:MonthAccessed>
    <b:DayAccessed>30</b:DayAccessed>
    <b:URL>http://www.publications.parliament.uk/pa/cm201415/cmselect/cmjust/311/31102.htm</b:URL>
    <b:RefOrder>3</b:RefOrder>
  </b:Source>
  <b:Source>
    <b:Tag>Gib14</b:Tag>
    <b:SourceType>JournalArticle</b:SourceType>
    <b:Guid>{FBA78C85-F7AC-4ED9-8206-103130341CC6}</b:Guid>
    <b:Title>What lies ahead?</b:Title>
    <b:Year>2014</b:Year>
    <b:Author>
      <b:Author>
        <b:NameList>
          <b:Person>
            <b:Last>Gibson</b:Last>
            <b:First>K.</b:First>
          </b:Person>
        </b:NameList>
      </b:Author>
    </b:Author>
    <b:JournalName>New Law Journal</b:JournalName>
    <b:Pages>12</b:Pages>
    <b:Volume>164</b:Volume>
    <b:Issue>7623</b:Issue>
    <b:RefOrder>5</b:RefOrder>
  </b:Source>
  <b:Source>
    <b:Tag>The145</b:Tag>
    <b:SourceType>DocumentFromInternetSite</b:SourceType>
    <b:Guid>{25B6F837-C7B7-4258-AF94-458C7598F1F3}</b:Guid>
    <b:Title>The Legal Aid, Sentencing and Punishment of Offnders Act 2012 (LASPO): One Year On - Final Report</b:Title>
    <b:Year>2014</b:Year>
    <b:Author>
      <b:Author>
        <b:Corporate>The Bar Council</b:Corporate>
      </b:Author>
    </b:Author>
    <b:YearAccessed>2016</b:YearAccessed>
    <b:MonthAccessed>April</b:MonthAccessed>
    <b:DayAccessed>30</b:DayAccessed>
    <b:URL>http://www.barcouncil.org.uk/media/303419/laspo_one_year_on_-_final_report__september_2014_.pdf</b:URL>
    <b:RefOrder>4</b:RefOrder>
  </b:Source>
</b:Sources>
</file>

<file path=customXml/itemProps1.xml><?xml version="1.0" encoding="utf-8"?>
<ds:datastoreItem xmlns:ds="http://schemas.openxmlformats.org/officeDocument/2006/customXml" ds:itemID="{6C8A3860-14D9-42EC-8D41-162F7B79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2108</Words>
  <Characters>12020</Characters>
  <Application>Microsoft Office Word</Application>
  <DocSecurity>0</DocSecurity>
  <Lines>100</Lines>
  <Paragraphs>28</Paragraphs>
  <ScaleCrop>false</ScaleCrop>
  <Company/>
  <LinksUpToDate>false</LinksUpToDate>
  <CharactersWithSpaces>14100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796</cp:revision>
  <dcterms:created xsi:type="dcterms:W3CDTF">2016-04-30T13:36:00Z</dcterms:created>
  <dcterms:modified xsi:type="dcterms:W3CDTF">2016-04-30T18:03:00Z</dcterms:modified>
</cp:coreProperties>
</file>