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E77" w:rsidRDefault="00471E77" w:rsidP="009C0027">
      <w:pPr>
        <w:ind w:firstLine="0"/>
      </w:pPr>
      <w:bookmarkStart w:id="0" w:name="_GoBack"/>
      <w:bookmarkEnd w:id="0"/>
    </w:p>
    <w:p w:rsidR="00471E77" w:rsidRDefault="00471E77" w:rsidP="00D7088C">
      <w:pPr>
        <w:jc w:val="center"/>
      </w:pPr>
    </w:p>
    <w:p w:rsidR="00471E77" w:rsidRDefault="00471E77" w:rsidP="00D7088C">
      <w:pPr>
        <w:jc w:val="center"/>
      </w:pPr>
    </w:p>
    <w:p w:rsidR="00471E77" w:rsidRDefault="00471E77" w:rsidP="00D7088C">
      <w:pPr>
        <w:jc w:val="center"/>
      </w:pPr>
    </w:p>
    <w:p w:rsidR="00471E77" w:rsidRDefault="00471E77" w:rsidP="00D7088C">
      <w:pPr>
        <w:jc w:val="center"/>
      </w:pPr>
    </w:p>
    <w:p w:rsidR="00471E77" w:rsidRDefault="00471E77" w:rsidP="009C0027">
      <w:pPr>
        <w:ind w:firstLine="0"/>
      </w:pPr>
    </w:p>
    <w:p w:rsidR="00E77CDF" w:rsidRDefault="00E77CDF" w:rsidP="00E77CDF">
      <w:pPr>
        <w:ind w:firstLine="0"/>
      </w:pPr>
    </w:p>
    <w:p w:rsidR="008D7C92" w:rsidRDefault="00471E77" w:rsidP="00D7088C">
      <w:pPr>
        <w:jc w:val="center"/>
      </w:pPr>
      <w:r>
        <w:t>Corporate Finance</w:t>
      </w:r>
    </w:p>
    <w:p w:rsidR="0081310F" w:rsidRDefault="00471E77" w:rsidP="00D7088C">
      <w:pPr>
        <w:jc w:val="center"/>
      </w:pPr>
      <w:r>
        <w:t>Student Name</w:t>
      </w:r>
    </w:p>
    <w:p w:rsidR="0081310F" w:rsidRDefault="00471E77" w:rsidP="00D7088C">
      <w:pPr>
        <w:jc w:val="center"/>
      </w:pPr>
      <w:r>
        <w:t>Allied University</w:t>
      </w:r>
    </w:p>
    <w:p w:rsidR="008D7C92" w:rsidRDefault="008D7C92">
      <w:pPr>
        <w:spacing w:line="259" w:lineRule="auto"/>
        <w:ind w:firstLine="0"/>
      </w:pPr>
      <w:r>
        <w:br w:type="page"/>
      </w:r>
    </w:p>
    <w:p w:rsidR="00D7088C" w:rsidRDefault="00D7088C" w:rsidP="00D7088C">
      <w:pPr>
        <w:jc w:val="center"/>
      </w:pPr>
      <w:r>
        <w:lastRenderedPageBreak/>
        <w:t>Corporate Finance</w:t>
      </w:r>
    </w:p>
    <w:p w:rsidR="00D4611C" w:rsidRDefault="00DD4A1D">
      <w:r>
        <w:t>Question 3</w:t>
      </w:r>
    </w:p>
    <w:p w:rsidR="00DD4A1D" w:rsidRDefault="0070536A" w:rsidP="007F54AB">
      <w:pPr>
        <w:pStyle w:val="ListParagraph"/>
        <w:numPr>
          <w:ilvl w:val="0"/>
          <w:numId w:val="1"/>
        </w:numPr>
      </w:pPr>
      <w:r>
        <w:t>Market price of a bond</w:t>
      </w:r>
    </w:p>
    <w:p w:rsidR="003D70A1" w:rsidRDefault="004234FA" w:rsidP="005F73CA">
      <w:pPr>
        <w:pStyle w:val="ListParagraph"/>
        <w:ind w:left="1440" w:firstLine="0"/>
        <w:rPr>
          <w:rFonts w:eastAsiaTheme="minorEastAsia"/>
        </w:rPr>
      </w:pPr>
      <w:r>
        <w:rPr>
          <w:rFonts w:eastAsiaTheme="minorEastAsia"/>
        </w:rPr>
        <w:t>The market price of a bond,</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t</m:t>
                </m:r>
              </m:sup>
            </m:sSup>
          </m:den>
        </m:f>
      </m:oMath>
      <w:r>
        <w:rPr>
          <w:rFonts w:eastAsiaTheme="minorEastAsia"/>
        </w:rPr>
        <w:t xml:space="preserve"> </w:t>
      </w:r>
      <w:r w:rsidR="006D3E88">
        <w:rPr>
          <w:rFonts w:eastAsiaTheme="minorEastAsia"/>
        </w:rPr>
        <w:t>, where; F</w:t>
      </w:r>
      <w:r w:rsidR="00635DE7">
        <w:rPr>
          <w:rFonts w:eastAsiaTheme="minorEastAsia"/>
        </w:rPr>
        <w:t>= Face value</w:t>
      </w:r>
      <w:r w:rsidR="00BB4680">
        <w:rPr>
          <w:rFonts w:eastAsiaTheme="minorEastAsia"/>
        </w:rPr>
        <w:t>, i= Rate to maturity and t= Time to maturity</w:t>
      </w:r>
      <w:r w:rsidR="003A6CDD">
        <w:rPr>
          <w:rFonts w:eastAsiaTheme="minorEastAsia"/>
        </w:rPr>
        <w:t>.</w:t>
      </w:r>
    </w:p>
    <w:p w:rsidR="003A6CDD" w:rsidRDefault="00790842" w:rsidP="005F73CA">
      <w:pPr>
        <w:pStyle w:val="ListParagraph"/>
        <w:ind w:left="1440" w:firstLine="0"/>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e>
                </m:d>
              </m:e>
              <m:sup>
                <m:r>
                  <w:rPr>
                    <w:rFonts w:ascii="Cambria Math" w:eastAsiaTheme="minorEastAsia" w:hAnsi="Cambria Math"/>
                  </w:rPr>
                  <m:t>15×2</m:t>
                </m:r>
              </m:sup>
            </m:sSup>
          </m:den>
        </m:f>
      </m:oMath>
      <w:r>
        <w:rPr>
          <w:rFonts w:eastAsiaTheme="minorEastAsia"/>
        </w:rPr>
        <w:t xml:space="preserve"> </w:t>
      </w:r>
      <w:r w:rsidR="00AF4B0C">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3.2434</m:t>
            </m:r>
          </m:den>
        </m:f>
      </m:oMath>
      <w:r w:rsidR="00E91CF5">
        <w:rPr>
          <w:rFonts w:eastAsiaTheme="minorEastAsia"/>
        </w:rPr>
        <w:t xml:space="preserve"> = </w:t>
      </w:r>
      <w:r w:rsidR="00DC374B">
        <w:rPr>
          <w:rFonts w:eastAsiaTheme="minorEastAsia"/>
        </w:rPr>
        <w:t>$</w:t>
      </w:r>
      <w:r w:rsidR="00E91CF5">
        <w:rPr>
          <w:rFonts w:eastAsiaTheme="minorEastAsia"/>
        </w:rPr>
        <w:t>308.31</w:t>
      </w:r>
    </w:p>
    <w:p w:rsidR="00F46278" w:rsidRDefault="00786E27" w:rsidP="00F46278">
      <w:pPr>
        <w:pStyle w:val="ListParagraph"/>
        <w:numPr>
          <w:ilvl w:val="0"/>
          <w:numId w:val="1"/>
        </w:numPr>
      </w:pPr>
      <w:r>
        <w:t>Price of the bond in 3yrs</w:t>
      </w:r>
      <w:r w:rsidR="00062A61">
        <w:t xml:space="preserve"> if interest remain constant</w:t>
      </w:r>
    </w:p>
    <w:p w:rsidR="008E0BE0" w:rsidRDefault="008E0BE0" w:rsidP="008E0BE0">
      <w:pPr>
        <w:pStyle w:val="ListParagraph"/>
        <w:ind w:left="1440" w:firstLine="0"/>
        <w:rPr>
          <w:rFonts w:eastAsiaTheme="minorEastAsia"/>
        </w:rPr>
      </w:pPr>
      <w:r>
        <w:t>Price of bond with zero</w:t>
      </w:r>
      <w:r w:rsidR="00D9159F">
        <w:t xml:space="preserve"> coupon =</w:t>
      </w:r>
      <w:r w:rsidR="006D3E88">
        <w:t xml:space="preserve"> </w:t>
      </w:r>
      <m:oMath>
        <m:f>
          <m:fPr>
            <m:ctrlPr>
              <w:rPr>
                <w:rFonts w:ascii="Cambria Math" w:eastAsiaTheme="minorEastAsia" w:hAnsi="Cambria Math"/>
                <w:i/>
              </w:rPr>
            </m:ctrlPr>
          </m:fPr>
          <m:num>
            <m:r>
              <w:rPr>
                <w:rFonts w:ascii="Cambria Math" w:eastAsiaTheme="minorEastAsia" w:hAnsi="Cambria Math"/>
              </w:rPr>
              <m:t>1000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e>
                </m:d>
              </m:e>
              <m:sup>
                <m:r>
                  <w:rPr>
                    <w:rFonts w:ascii="Cambria Math" w:eastAsiaTheme="minorEastAsia" w:hAnsi="Cambria Math"/>
                  </w:rPr>
                  <m:t>3×2</m:t>
                </m:r>
              </m:sup>
            </m:sSup>
          </m:den>
        </m:f>
      </m:oMath>
    </w:p>
    <w:p w:rsidR="00987F58" w:rsidRDefault="00447AD3" w:rsidP="008E0BE0">
      <w:pPr>
        <w:pStyle w:val="ListParagraph"/>
        <w:ind w:left="1440" w:firstLine="0"/>
        <w:rPr>
          <w:rFonts w:eastAsiaTheme="minorEastAsia"/>
        </w:rPr>
      </w:pPr>
      <m:oMath>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1.2653</m:t>
            </m:r>
          </m:den>
        </m:f>
      </m:oMath>
      <w:r w:rsidR="00DC2196">
        <w:rPr>
          <w:rFonts w:eastAsiaTheme="minorEastAsia"/>
        </w:rPr>
        <w:t xml:space="preserve"> = $790.31</w:t>
      </w:r>
    </w:p>
    <w:p w:rsidR="0004439C" w:rsidRDefault="001E124A" w:rsidP="00A859B6">
      <w:pPr>
        <w:pStyle w:val="ListParagraph"/>
        <w:numPr>
          <w:ilvl w:val="0"/>
          <w:numId w:val="1"/>
        </w:numPr>
      </w:pPr>
      <w:r>
        <w:t xml:space="preserve">Price </w:t>
      </w:r>
      <w:r w:rsidR="008D68C5">
        <w:t>of the bond in 3y</w:t>
      </w:r>
      <w:r>
        <w:t>rs if interest rate rise to 10%</w:t>
      </w:r>
    </w:p>
    <w:p w:rsidR="009636A8" w:rsidRDefault="009636A8" w:rsidP="009636A8">
      <w:pPr>
        <w:pStyle w:val="ListParagraph"/>
        <w:ind w:left="1440" w:firstLine="0"/>
        <w:rPr>
          <w:rFonts w:eastAsiaTheme="minorEastAsia"/>
        </w:rPr>
      </w:pPr>
      <w:r>
        <w:t xml:space="preserve">Price of bond with zero coupon = </w:t>
      </w:r>
      <m:oMath>
        <m:f>
          <m:fPr>
            <m:ctrlPr>
              <w:rPr>
                <w:rFonts w:ascii="Cambria Math" w:eastAsiaTheme="minorEastAsia" w:hAnsi="Cambria Math"/>
                <w:i/>
              </w:rPr>
            </m:ctrlPr>
          </m:fPr>
          <m:num>
            <m:r>
              <w:rPr>
                <w:rFonts w:ascii="Cambria Math" w:eastAsiaTheme="minorEastAsia" w:hAnsi="Cambria Math"/>
              </w:rPr>
              <m:t>1000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e>
                </m:d>
              </m:e>
              <m:sup>
                <m:r>
                  <w:rPr>
                    <w:rFonts w:ascii="Cambria Math" w:eastAsiaTheme="minorEastAsia" w:hAnsi="Cambria Math"/>
                  </w:rPr>
                  <m:t>3×2</m:t>
                </m:r>
              </m:sup>
            </m:sSup>
          </m:den>
        </m:f>
      </m:oMath>
      <w:r w:rsidR="00907A52">
        <w:rPr>
          <w:rFonts w:eastAsiaTheme="minorEastAsia"/>
        </w:rPr>
        <w:t xml:space="preserve"> </w:t>
      </w:r>
    </w:p>
    <w:p w:rsidR="00907A52" w:rsidRDefault="00907A52" w:rsidP="009636A8">
      <w:pPr>
        <w:pStyle w:val="ListParagraph"/>
        <w:ind w:left="1440" w:firstLine="0"/>
        <w:rPr>
          <w:rFonts w:eastAsiaTheme="minorEastAsia"/>
        </w:rPr>
      </w:pPr>
      <w:r>
        <w:t xml:space="preserve">= </w:t>
      </w:r>
      <m:oMath>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 xml:space="preserve">1.3401 </m:t>
            </m:r>
          </m:den>
        </m:f>
      </m:oMath>
      <w:r w:rsidR="00F81AB0">
        <w:rPr>
          <w:rFonts w:eastAsiaTheme="minorEastAsia"/>
        </w:rPr>
        <w:t xml:space="preserve"> = $746.22</w:t>
      </w:r>
    </w:p>
    <w:p w:rsidR="00557ECC" w:rsidRDefault="00401802" w:rsidP="00401802">
      <w:r w:rsidRPr="00401802">
        <w:t>Question 4</w:t>
      </w:r>
    </w:p>
    <w:p w:rsidR="00401802" w:rsidRDefault="00471E21" w:rsidP="006C2467">
      <w:pPr>
        <w:pStyle w:val="ListParagraph"/>
        <w:numPr>
          <w:ilvl w:val="0"/>
          <w:numId w:val="3"/>
        </w:numPr>
      </w:pPr>
      <w:r>
        <w:t>Calculate the price of Bond A</w:t>
      </w:r>
    </w:p>
    <w:p w:rsidR="00472F2F" w:rsidRDefault="009449C1" w:rsidP="00472F2F">
      <w:pPr>
        <w:pStyle w:val="ListParagraph"/>
        <w:ind w:left="1440" w:firstLine="0"/>
        <w:rPr>
          <w:rFonts w:eastAsiaTheme="minorEastAsia"/>
        </w:rPr>
      </w:pPr>
      <w:r>
        <w:t>Bond</w:t>
      </w:r>
      <w:r w:rsidR="0014788B">
        <w:t xml:space="preserve"> value of</w:t>
      </w:r>
      <w:r>
        <w:t xml:space="preserve"> A, </w:t>
      </w:r>
      <w:r w:rsidR="003F0095">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m:t>
                        </m:r>
                      </m:den>
                    </m:f>
                  </m:e>
                </m:d>
              </m:e>
              <m:sup>
                <m:r>
                  <w:rPr>
                    <w:rFonts w:ascii="Cambria Math" w:eastAsiaTheme="minorEastAsia" w:hAnsi="Cambria Math"/>
                  </w:rPr>
                  <m:t>20×2</m:t>
                </m:r>
              </m:sup>
            </m:sSup>
          </m:den>
        </m:f>
      </m:oMath>
      <w:r w:rsidR="00FC3D09">
        <w:rPr>
          <w:rFonts w:eastAsiaTheme="minorEastAsia"/>
        </w:rPr>
        <w:t xml:space="preserve"> </w:t>
      </w:r>
    </w:p>
    <w:p w:rsidR="00FC3D09" w:rsidRPr="006C2467" w:rsidRDefault="00FC3D09" w:rsidP="00472F2F">
      <w:pPr>
        <w:pStyle w:val="ListParagraph"/>
        <w:ind w:left="1440" w:firstLine="0"/>
      </w:pPr>
    </w:p>
    <w:p w:rsidR="009636A8" w:rsidRDefault="00FC3D09" w:rsidP="009636A8">
      <w:pPr>
        <w:pStyle w:val="ListParagraph"/>
        <w:ind w:left="1440" w:firstLine="0"/>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10.286</m:t>
            </m:r>
          </m:den>
        </m:f>
      </m:oMath>
      <w:r>
        <w:rPr>
          <w:rFonts w:eastAsiaTheme="minorEastAsia"/>
        </w:rPr>
        <w:t xml:space="preserve"> =</w:t>
      </w:r>
      <w:r w:rsidR="009311B6">
        <w:rPr>
          <w:rFonts w:eastAsiaTheme="minorEastAsia"/>
        </w:rPr>
        <w:t xml:space="preserve"> $97.22</w:t>
      </w:r>
    </w:p>
    <w:p w:rsidR="00B451CB" w:rsidRDefault="00217463" w:rsidP="00B451CB">
      <w:pPr>
        <w:pStyle w:val="ListParagraph"/>
        <w:numPr>
          <w:ilvl w:val="0"/>
          <w:numId w:val="3"/>
        </w:numPr>
      </w:pPr>
      <w:r>
        <w:t xml:space="preserve">Calculate the maturity period of </w:t>
      </w:r>
      <w:r w:rsidR="00073B3D">
        <w:t>Bond B</w:t>
      </w:r>
    </w:p>
    <w:p w:rsidR="00073B3D" w:rsidRDefault="0022011A" w:rsidP="00073B3D">
      <w:pPr>
        <w:pStyle w:val="ListParagraph"/>
        <w:ind w:left="1440" w:firstLine="0"/>
        <w:rPr>
          <w:rFonts w:eastAsiaTheme="minorEastAsia"/>
        </w:rPr>
      </w:pPr>
      <w:r>
        <w:t xml:space="preserve">Yield to maturity, </w:t>
      </w:r>
      <m:oMath>
        <m:r>
          <w:rPr>
            <w:rFonts w:ascii="Cambria Math" w:hAnsi="Cambria Math"/>
          </w:rPr>
          <m:t xml:space="preserve">I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P</m:t>
                    </m:r>
                  </m:den>
                </m:f>
              </m:e>
            </m:d>
          </m:e>
          <m:sup>
            <m:f>
              <m:fPr>
                <m:ctrlPr>
                  <w:rPr>
                    <w:rFonts w:ascii="Cambria Math" w:hAnsi="Cambria Math"/>
                    <w:i/>
                  </w:rPr>
                </m:ctrlPr>
              </m:fPr>
              <m:num>
                <m:r>
                  <w:rPr>
                    <w:rFonts w:ascii="Cambria Math" w:hAnsi="Cambria Math"/>
                  </w:rPr>
                  <m:t>1</m:t>
                </m:r>
              </m:num>
              <m:den>
                <m:r>
                  <w:rPr>
                    <w:rFonts w:ascii="Cambria Math" w:hAnsi="Cambria Math"/>
                  </w:rPr>
                  <m:t>t</m:t>
                </m:r>
              </m:den>
            </m:f>
          </m:sup>
        </m:sSup>
        <m:r>
          <w:rPr>
            <w:rFonts w:ascii="Cambria Math" w:hAnsi="Cambria Math"/>
          </w:rPr>
          <m:t>-1</m:t>
        </m:r>
      </m:oMath>
    </w:p>
    <w:p w:rsidR="0078094F" w:rsidRDefault="00447AD3" w:rsidP="00073B3D">
      <w:pPr>
        <w:pStyle w:val="ListParagraph"/>
        <w:ind w:left="1440" w:firstLine="0"/>
        <w:rPr>
          <w:rFonts w:eastAsiaTheme="minorEastAsia"/>
        </w:rPr>
      </w:pPr>
      <m:oMath>
        <m:f>
          <m:fPr>
            <m:ctrlPr>
              <w:rPr>
                <w:rFonts w:ascii="Cambria Math" w:hAnsi="Cambria Math"/>
                <w:i/>
              </w:rPr>
            </m:ctrlPr>
          </m:fPr>
          <m:num>
            <m:r>
              <w:rPr>
                <w:rFonts w:ascii="Cambria Math" w:hAnsi="Cambria Math"/>
              </w:rPr>
              <m:t>8%</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1000</m:t>
                    </m:r>
                  </m:num>
                  <m:den>
                    <m:r>
                      <m:rPr>
                        <m:sty m:val="p"/>
                      </m:rPr>
                      <w:rPr>
                        <w:rFonts w:ascii="Cambria Math" w:hAnsi="Cambria Math"/>
                      </w:rPr>
                      <m:t>601</m:t>
                    </m:r>
                  </m:den>
                </m:f>
              </m:e>
            </m:d>
          </m:e>
          <m:sup>
            <m:r>
              <w:rPr>
                <w:rFonts w:ascii="Cambria Math" w:hAnsi="Cambria Math"/>
              </w:rPr>
              <m:t>-2t</m:t>
            </m:r>
          </m:sup>
        </m:sSup>
        <m:r>
          <w:rPr>
            <w:rFonts w:ascii="Cambria Math" w:hAnsi="Cambria Math"/>
          </w:rPr>
          <m:t>-1</m:t>
        </m:r>
      </m:oMath>
      <w:r w:rsidR="008428BB">
        <w:rPr>
          <w:rFonts w:eastAsiaTheme="minorEastAsia"/>
        </w:rPr>
        <w:t xml:space="preserve"> </w:t>
      </w:r>
    </w:p>
    <w:p w:rsidR="0002710D" w:rsidRDefault="005E618D" w:rsidP="0002710D">
      <w:pPr>
        <w:pStyle w:val="ListParagraph"/>
        <w:ind w:left="1440" w:firstLine="0"/>
        <w:rPr>
          <w:rFonts w:eastAsiaTheme="minorEastAsia"/>
        </w:rPr>
      </w:pPr>
      <m:oMath>
        <m:r>
          <w:rPr>
            <w:rFonts w:ascii="Cambria Math" w:hAnsi="Cambria Math"/>
          </w:rPr>
          <m:t>0.04=</m:t>
        </m:r>
        <m:sSup>
          <m:sSupPr>
            <m:ctrlPr>
              <w:rPr>
                <w:rFonts w:ascii="Cambria Math" w:hAnsi="Cambria Math"/>
                <w:i/>
              </w:rPr>
            </m:ctrlPr>
          </m:sSupPr>
          <m:e>
            <m:d>
              <m:dPr>
                <m:ctrlPr>
                  <w:rPr>
                    <w:rFonts w:ascii="Cambria Math" w:hAnsi="Cambria Math"/>
                    <w:i/>
                  </w:rPr>
                </m:ctrlPr>
              </m:dPr>
              <m:e>
                <m:r>
                  <w:rPr>
                    <w:rFonts w:ascii="Cambria Math" w:hAnsi="Cambria Math"/>
                  </w:rPr>
                  <m:t>1.6639</m:t>
                </m:r>
              </m:e>
            </m:d>
          </m:e>
          <m:sup>
            <m:r>
              <w:rPr>
                <w:rFonts w:ascii="Cambria Math" w:hAnsi="Cambria Math"/>
              </w:rPr>
              <m:t>-2t</m:t>
            </m:r>
          </m:sup>
        </m:sSup>
        <m:r>
          <w:rPr>
            <w:rFonts w:ascii="Cambria Math" w:hAnsi="Cambria Math"/>
          </w:rPr>
          <m:t>-1</m:t>
        </m:r>
      </m:oMath>
      <w:r w:rsidR="0002710D">
        <w:rPr>
          <w:rFonts w:eastAsiaTheme="minorEastAsia"/>
        </w:rPr>
        <w:t xml:space="preserve"> </w:t>
      </w:r>
    </w:p>
    <w:p w:rsidR="005524C1" w:rsidRDefault="005524C1" w:rsidP="005524C1">
      <w:pPr>
        <w:pStyle w:val="ListParagraph"/>
        <w:ind w:left="1440" w:firstLine="0"/>
        <w:rPr>
          <w:rFonts w:eastAsiaTheme="minorEastAsia"/>
        </w:rPr>
      </w:pPr>
      <m:oMath>
        <m:r>
          <w:rPr>
            <w:rFonts w:ascii="Cambria Math" w:hAnsi="Cambria Math"/>
          </w:rPr>
          <m:t>1.04=</m:t>
        </m:r>
        <m:sSup>
          <m:sSupPr>
            <m:ctrlPr>
              <w:rPr>
                <w:rFonts w:ascii="Cambria Math" w:hAnsi="Cambria Math"/>
                <w:i/>
              </w:rPr>
            </m:ctrlPr>
          </m:sSupPr>
          <m:e>
            <m:d>
              <m:dPr>
                <m:ctrlPr>
                  <w:rPr>
                    <w:rFonts w:ascii="Cambria Math" w:hAnsi="Cambria Math"/>
                    <w:i/>
                  </w:rPr>
                </m:ctrlPr>
              </m:dPr>
              <m:e>
                <m:r>
                  <w:rPr>
                    <w:rFonts w:ascii="Cambria Math" w:hAnsi="Cambria Math"/>
                  </w:rPr>
                  <m:t>1.6639</m:t>
                </m:r>
              </m:e>
            </m:d>
          </m:e>
          <m:sup>
            <m:r>
              <w:rPr>
                <w:rFonts w:ascii="Cambria Math" w:hAnsi="Cambria Math"/>
              </w:rPr>
              <m:t>-2t</m:t>
            </m:r>
          </m:sup>
        </m:sSup>
      </m:oMath>
      <w:r>
        <w:rPr>
          <w:rFonts w:eastAsiaTheme="minorEastAsia"/>
        </w:rPr>
        <w:t xml:space="preserve"> </w:t>
      </w:r>
    </w:p>
    <w:p w:rsidR="005524C1" w:rsidRDefault="00E50C3C" w:rsidP="00E50C3C">
      <w:pPr>
        <w:pStyle w:val="ListParagraph"/>
        <w:numPr>
          <w:ilvl w:val="0"/>
          <w:numId w:val="3"/>
        </w:numPr>
        <w:rPr>
          <w:rFonts w:eastAsiaTheme="minorEastAsia"/>
        </w:rPr>
      </w:pPr>
      <w:r>
        <w:rPr>
          <w:rFonts w:eastAsiaTheme="minorEastAsia"/>
        </w:rPr>
        <w:t xml:space="preserve">Calculate the yield to maturity for Bond </w:t>
      </w:r>
      <w:r w:rsidR="00304EF8">
        <w:rPr>
          <w:rFonts w:eastAsiaTheme="minorEastAsia"/>
        </w:rPr>
        <w:t>C</w:t>
      </w:r>
    </w:p>
    <w:p w:rsidR="00435CD2" w:rsidRPr="00435CD2" w:rsidRDefault="003E3147" w:rsidP="00435CD2">
      <w:pPr>
        <w:pStyle w:val="ListParagraph"/>
        <w:ind w:left="1440" w:firstLine="0"/>
        <w:rPr>
          <w:rFonts w:eastAsiaTheme="minorEastAsia"/>
        </w:rPr>
      </w:pPr>
      <w:r>
        <w:t xml:space="preserve">Yield to maturity, </w:t>
      </w:r>
      <m:oMath>
        <m:r>
          <w:rPr>
            <w:rFonts w:ascii="Cambria Math" w:hAnsi="Cambria Math"/>
          </w:rPr>
          <m:t xml:space="preserve">I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P</m:t>
                    </m:r>
                  </m:den>
                </m:f>
              </m:e>
            </m:d>
          </m:e>
          <m:sup>
            <m:f>
              <m:fPr>
                <m:ctrlPr>
                  <w:rPr>
                    <w:rFonts w:ascii="Cambria Math" w:hAnsi="Cambria Math"/>
                    <w:i/>
                  </w:rPr>
                </m:ctrlPr>
              </m:fPr>
              <m:num>
                <m:r>
                  <w:rPr>
                    <w:rFonts w:ascii="Cambria Math" w:hAnsi="Cambria Math"/>
                  </w:rPr>
                  <m:t>1</m:t>
                </m:r>
              </m:num>
              <m:den>
                <m:r>
                  <w:rPr>
                    <w:rFonts w:ascii="Cambria Math" w:hAnsi="Cambria Math"/>
                  </w:rPr>
                  <m:t>t</m:t>
                </m:r>
              </m:den>
            </m:f>
          </m:sup>
        </m:sSup>
        <m:r>
          <w:rPr>
            <w:rFonts w:ascii="Cambria Math" w:hAnsi="Cambria Math"/>
          </w:rPr>
          <m:t>-1</m:t>
        </m:r>
      </m:oMath>
    </w:p>
    <w:p w:rsidR="00435CD2" w:rsidRDefault="00447AD3" w:rsidP="00435CD2">
      <w:pPr>
        <w:pStyle w:val="ListParagraph"/>
        <w:ind w:left="1440" w:firstLine="0"/>
        <w:rPr>
          <w:rFonts w:eastAsiaTheme="minorEastAsia"/>
        </w:rPr>
      </w:pPr>
      <m:oMath>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1000</m:t>
                    </m:r>
                  </m:num>
                  <m:den>
                    <m:r>
                      <m:rPr>
                        <m:sty m:val="p"/>
                      </m:rPr>
                      <w:rPr>
                        <w:rFonts w:ascii="Cambria Math" w:hAnsi="Cambria Math"/>
                      </w:rPr>
                      <m:t>350</m:t>
                    </m:r>
                  </m:den>
                </m:f>
              </m:e>
            </m:d>
          </m:e>
          <m:sup>
            <m:r>
              <w:rPr>
                <w:rFonts w:ascii="Cambria Math" w:hAnsi="Cambria Math"/>
              </w:rPr>
              <m:t>(1/9)×2</m:t>
            </m:r>
          </m:sup>
        </m:sSup>
        <m:r>
          <w:rPr>
            <w:rFonts w:ascii="Cambria Math" w:hAnsi="Cambria Math"/>
          </w:rPr>
          <m:t>-1</m:t>
        </m:r>
      </m:oMath>
      <w:r w:rsidR="00435CD2">
        <w:rPr>
          <w:rFonts w:eastAsiaTheme="minorEastAsia"/>
        </w:rPr>
        <w:t xml:space="preserve"> </w:t>
      </w:r>
    </w:p>
    <w:p w:rsidR="00A87F2E" w:rsidRDefault="00447AD3" w:rsidP="00A87F2E">
      <w:pPr>
        <w:pStyle w:val="ListParagraph"/>
        <w:ind w:left="1440" w:firstLine="0"/>
        <w:rPr>
          <w:rFonts w:eastAsiaTheme="minorEastAsia"/>
        </w:rPr>
      </w:pPr>
      <m:oMath>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 0.2627</m:t>
        </m:r>
      </m:oMath>
      <w:r w:rsidR="00640070">
        <w:rPr>
          <w:rFonts w:eastAsiaTheme="minorEastAsia" w:cs="Times New Roman"/>
        </w:rPr>
        <w:t>×</w:t>
      </w:r>
      <w:r w:rsidR="00640070">
        <w:rPr>
          <w:rFonts w:eastAsiaTheme="minorEastAsia"/>
        </w:rPr>
        <w:t>2</w:t>
      </w:r>
      <w:r w:rsidR="00A87F2E">
        <w:rPr>
          <w:rFonts w:eastAsiaTheme="minorEastAsia"/>
        </w:rPr>
        <w:t xml:space="preserve"> </w:t>
      </w:r>
    </w:p>
    <w:p w:rsidR="001D061F" w:rsidRDefault="001D061F" w:rsidP="00A87F2E">
      <w:pPr>
        <w:pStyle w:val="ListParagraph"/>
        <w:ind w:left="1440" w:firstLine="0"/>
        <w:rPr>
          <w:rFonts w:eastAsiaTheme="minorEastAsia"/>
        </w:rPr>
      </w:pPr>
      <m:oMath>
        <m:r>
          <w:rPr>
            <w:rFonts w:ascii="Cambria Math" w:hAnsi="Cambria Math"/>
          </w:rPr>
          <m:t xml:space="preserve">i=0.5254 </m:t>
        </m:r>
      </m:oMath>
      <w:r w:rsidR="0046666B">
        <w:rPr>
          <w:rFonts w:eastAsiaTheme="minorEastAsia"/>
        </w:rPr>
        <w:t xml:space="preserve"> </w:t>
      </w:r>
    </w:p>
    <w:p w:rsidR="003E3147" w:rsidRDefault="00581059" w:rsidP="00F80028">
      <w:pPr>
        <w:rPr>
          <w:rFonts w:eastAsiaTheme="minorEastAsia"/>
        </w:rPr>
      </w:pPr>
      <w:r>
        <w:rPr>
          <w:rFonts w:eastAsiaTheme="minorEastAsia"/>
        </w:rPr>
        <w:t>Question 5</w:t>
      </w:r>
      <w:r w:rsidR="00F839B6">
        <w:rPr>
          <w:rFonts w:eastAsiaTheme="minorEastAsia"/>
        </w:rPr>
        <w:t xml:space="preserve"> </w:t>
      </w:r>
    </w:p>
    <w:p w:rsidR="00F80028" w:rsidRDefault="002D7F9D" w:rsidP="00F80028">
      <w:pPr>
        <w:pStyle w:val="ListParagraph"/>
        <w:numPr>
          <w:ilvl w:val="0"/>
          <w:numId w:val="4"/>
        </w:numPr>
        <w:rPr>
          <w:rFonts w:eastAsiaTheme="minorEastAsia"/>
        </w:rPr>
      </w:pPr>
      <w:r>
        <w:rPr>
          <w:rFonts w:eastAsiaTheme="minorEastAsia"/>
        </w:rPr>
        <w:t>Calculate modified duration</w:t>
      </w:r>
    </w:p>
    <w:p w:rsidR="007917D1" w:rsidRDefault="00901636" w:rsidP="007917D1">
      <w:pPr>
        <w:pStyle w:val="ListParagraph"/>
        <w:ind w:left="1440" w:firstLine="0"/>
        <w:rPr>
          <w:rFonts w:eastAsiaTheme="minorEastAsia"/>
        </w:rPr>
      </w:pPr>
      <w:r>
        <w:rPr>
          <w:rFonts w:eastAsiaTheme="minorEastAsia"/>
        </w:rPr>
        <w:t>Modified duration =</w:t>
      </w:r>
      <w:r w:rsidR="004479B0">
        <w:rPr>
          <w:rFonts w:eastAsiaTheme="minorEastAsia"/>
        </w:rPr>
        <w:t xml:space="preserve"> </w:t>
      </w:r>
      <m:oMath>
        <m:f>
          <m:fPr>
            <m:ctrlPr>
              <w:rPr>
                <w:rFonts w:ascii="Cambria Math" w:hAnsi="Cambria Math"/>
                <w:i/>
              </w:rPr>
            </m:ctrlPr>
          </m:fPr>
          <m:num>
            <m:r>
              <w:rPr>
                <w:rFonts w:ascii="Cambria Math" w:hAnsi="Cambria Math"/>
              </w:rPr>
              <m:t>Macaulay Duration</m:t>
            </m:r>
          </m:num>
          <m:den>
            <m:r>
              <w:rPr>
                <w:rFonts w:ascii="Cambria Math" w:hAnsi="Cambria Math"/>
              </w:rPr>
              <m:t>1+</m:t>
            </m:r>
            <m:f>
              <m:fPr>
                <m:ctrlPr>
                  <w:rPr>
                    <w:rFonts w:ascii="Cambria Math" w:hAnsi="Cambria Math"/>
                    <w:i/>
                  </w:rPr>
                </m:ctrlPr>
              </m:fPr>
              <m:num>
                <m:r>
                  <w:rPr>
                    <w:rFonts w:ascii="Cambria Math" w:hAnsi="Cambria Math"/>
                  </w:rPr>
                  <m:t>yield</m:t>
                </m:r>
              </m:num>
              <m:den>
                <m:r>
                  <w:rPr>
                    <w:rFonts w:ascii="Cambria Math" w:hAnsi="Cambria Math"/>
                  </w:rPr>
                  <m:t>k</m:t>
                </m:r>
              </m:den>
            </m:f>
          </m:den>
        </m:f>
        <m:r>
          <w:rPr>
            <w:rFonts w:ascii="Cambria Math" w:hAnsi="Cambria Math"/>
          </w:rPr>
          <m:t xml:space="preserve">  </m:t>
        </m:r>
      </m:oMath>
    </w:p>
    <w:p w:rsidR="00781362" w:rsidRDefault="00781362" w:rsidP="00781362">
      <w:pPr>
        <w:pStyle w:val="ListParagraph"/>
        <w:ind w:left="1440" w:firstLine="0"/>
        <w:rPr>
          <w:rFonts w:eastAsiaTheme="minorEastAsia"/>
        </w:rPr>
      </w:pPr>
      <w:r>
        <w:rPr>
          <w:rFonts w:eastAsiaTheme="minorEastAsia"/>
        </w:rPr>
        <w:t xml:space="preserve">Modified duration = </w:t>
      </w:r>
      <m:oMath>
        <m:f>
          <m:fPr>
            <m:ctrlPr>
              <w:rPr>
                <w:rFonts w:ascii="Cambria Math" w:hAnsi="Cambria Math"/>
                <w:i/>
              </w:rPr>
            </m:ctrlPr>
          </m:fPr>
          <m:num>
            <m:r>
              <w:rPr>
                <w:rFonts w:ascii="Cambria Math" w:hAnsi="Cambria Math"/>
              </w:rPr>
              <m:t>10yrs×2</m:t>
            </m:r>
          </m:num>
          <m:den>
            <m:r>
              <w:rPr>
                <w:rFonts w:ascii="Cambria Math" w:hAnsi="Cambria Math"/>
              </w:rPr>
              <m:t>1+</m:t>
            </m:r>
            <m:f>
              <m:fPr>
                <m:ctrlPr>
                  <w:rPr>
                    <w:rFonts w:ascii="Cambria Math" w:hAnsi="Cambria Math"/>
                    <w:i/>
                  </w:rPr>
                </m:ctrlPr>
              </m:fPr>
              <m:num>
                <m:r>
                  <m:rPr>
                    <m:sty m:val="p"/>
                  </m:rPr>
                  <w:rPr>
                    <w:rFonts w:ascii="Cambria Math" w:hAnsi="Cambria Math"/>
                  </w:rPr>
                  <m:t xml:space="preserve">8% </m:t>
                </m:r>
              </m:num>
              <m:den>
                <m:r>
                  <w:rPr>
                    <w:rFonts w:ascii="Cambria Math" w:hAnsi="Cambria Math"/>
                  </w:rPr>
                  <m:t>2</m:t>
                </m:r>
              </m:den>
            </m:f>
          </m:den>
        </m:f>
        <m:r>
          <w:rPr>
            <w:rFonts w:ascii="Cambria Math" w:hAnsi="Cambria Math"/>
          </w:rPr>
          <m:t xml:space="preserve">  </m:t>
        </m:r>
      </m:oMath>
    </w:p>
    <w:p w:rsidR="009F4959" w:rsidRDefault="009F4959" w:rsidP="00781362">
      <w:pPr>
        <w:pStyle w:val="ListParagraph"/>
        <w:ind w:left="1440" w:firstLine="0"/>
        <w:rPr>
          <w:rFonts w:eastAsiaTheme="minorEastAsia"/>
        </w:rPr>
      </w:pPr>
      <w:r>
        <w:rPr>
          <w:rFonts w:eastAsiaTheme="minorEastAsia"/>
        </w:rPr>
        <w:t xml:space="preserve">Modified duration = </w:t>
      </w:r>
      <w:r w:rsidR="00A262A4">
        <w:rPr>
          <w:rFonts w:eastAsiaTheme="minorEastAsia"/>
        </w:rPr>
        <w:t>19.23</w:t>
      </w:r>
    </w:p>
    <w:p w:rsidR="00781362" w:rsidRDefault="00DE40C8" w:rsidP="000110B0">
      <w:pPr>
        <w:pStyle w:val="ListParagraph"/>
        <w:numPr>
          <w:ilvl w:val="0"/>
          <w:numId w:val="4"/>
        </w:numPr>
        <w:rPr>
          <w:rFonts w:eastAsiaTheme="minorEastAsia"/>
        </w:rPr>
      </w:pPr>
      <w:r>
        <w:rPr>
          <w:rFonts w:eastAsiaTheme="minorEastAsia"/>
        </w:rPr>
        <w:t>Modified duration is an effective measure in determining a bond’s sensitivity to changes in interest rate</w:t>
      </w:r>
      <w:r w:rsidR="00944544">
        <w:rPr>
          <w:rFonts w:eastAsiaTheme="minorEastAsia"/>
        </w:rPr>
        <w:t xml:space="preserve"> because it takes into account</w:t>
      </w:r>
      <w:r w:rsidR="00956517">
        <w:rPr>
          <w:rFonts w:eastAsiaTheme="minorEastAsia"/>
        </w:rPr>
        <w:t xml:space="preserve"> the changes in </w:t>
      </w:r>
      <w:r w:rsidR="00A7796B">
        <w:rPr>
          <w:rFonts w:eastAsiaTheme="minorEastAsia"/>
        </w:rPr>
        <w:t>cash flows</w:t>
      </w:r>
      <w:r w:rsidR="00DB064D">
        <w:rPr>
          <w:rFonts w:eastAsiaTheme="minorEastAsia"/>
        </w:rPr>
        <w:t xml:space="preserve"> and values that can occur</w:t>
      </w:r>
      <w:r w:rsidR="00BD05DC">
        <w:rPr>
          <w:rFonts w:eastAsiaTheme="minorEastAsia"/>
        </w:rPr>
        <w:t xml:space="preserve"> from fixed options</w:t>
      </w:r>
      <w:sdt>
        <w:sdtPr>
          <w:rPr>
            <w:rFonts w:eastAsiaTheme="minorEastAsia"/>
          </w:rPr>
          <w:id w:val="1911424300"/>
          <w:citation/>
        </w:sdtPr>
        <w:sdtEndPr/>
        <w:sdtContent>
          <w:r w:rsidR="00F615DB">
            <w:rPr>
              <w:rFonts w:eastAsiaTheme="minorEastAsia"/>
            </w:rPr>
            <w:fldChar w:fldCharType="begin"/>
          </w:r>
          <w:r w:rsidR="00F615DB">
            <w:rPr>
              <w:rFonts w:eastAsiaTheme="minorEastAsia"/>
            </w:rPr>
            <w:instrText xml:space="preserve"> CITATION RAB121 \l 1033 </w:instrText>
          </w:r>
          <w:r w:rsidR="00F615DB">
            <w:rPr>
              <w:rFonts w:eastAsiaTheme="minorEastAsia"/>
            </w:rPr>
            <w:fldChar w:fldCharType="separate"/>
          </w:r>
          <w:r w:rsidR="00F615DB">
            <w:rPr>
              <w:rFonts w:eastAsiaTheme="minorEastAsia"/>
              <w:noProof/>
            </w:rPr>
            <w:t xml:space="preserve"> </w:t>
          </w:r>
          <w:r w:rsidR="00F615DB" w:rsidRPr="00F615DB">
            <w:rPr>
              <w:rFonts w:eastAsiaTheme="minorEastAsia"/>
              <w:noProof/>
            </w:rPr>
            <w:t>(Brealey, Myers, Allen, &amp; Mohanty, 2012)</w:t>
          </w:r>
          <w:r w:rsidR="00F615DB">
            <w:rPr>
              <w:rFonts w:eastAsiaTheme="minorEastAsia"/>
            </w:rPr>
            <w:fldChar w:fldCharType="end"/>
          </w:r>
        </w:sdtContent>
      </w:sdt>
      <w:r w:rsidR="00BD05DC">
        <w:rPr>
          <w:rFonts w:eastAsiaTheme="minorEastAsia"/>
        </w:rPr>
        <w:t>.</w:t>
      </w:r>
      <w:r w:rsidR="00822060">
        <w:rPr>
          <w:rFonts w:eastAsiaTheme="minorEastAsia"/>
        </w:rPr>
        <w:t xml:space="preserve"> This is due  to the fact that</w:t>
      </w:r>
      <w:r w:rsidR="00314413">
        <w:rPr>
          <w:rFonts w:eastAsiaTheme="minorEastAsia"/>
        </w:rPr>
        <w:t xml:space="preserve"> bond has fixed option and therefore</w:t>
      </w:r>
      <w:r w:rsidR="00040124">
        <w:rPr>
          <w:rFonts w:eastAsiaTheme="minorEastAsia"/>
        </w:rPr>
        <w:t xml:space="preserve"> su</w:t>
      </w:r>
      <w:r w:rsidR="00ED38A7">
        <w:rPr>
          <w:rFonts w:eastAsiaTheme="minorEastAsia"/>
        </w:rPr>
        <w:t xml:space="preserve">bject to changes in </w:t>
      </w:r>
      <w:r w:rsidR="00A7796B">
        <w:rPr>
          <w:rFonts w:eastAsiaTheme="minorEastAsia"/>
        </w:rPr>
        <w:t>cash flow</w:t>
      </w:r>
      <w:r w:rsidR="00ED38A7">
        <w:rPr>
          <w:rFonts w:eastAsiaTheme="minorEastAsia"/>
        </w:rPr>
        <w:t xml:space="preserve"> as a result of changes in</w:t>
      </w:r>
      <w:r w:rsidR="00040124">
        <w:rPr>
          <w:rFonts w:eastAsiaTheme="minorEastAsia"/>
        </w:rPr>
        <w:t xml:space="preserve"> interest rate</w:t>
      </w:r>
      <w:r w:rsidR="00ED38A7">
        <w:rPr>
          <w:rFonts w:eastAsiaTheme="minorEastAsia"/>
        </w:rPr>
        <w:t>s</w:t>
      </w:r>
      <w:r w:rsidR="00CF4A58">
        <w:rPr>
          <w:rFonts w:eastAsiaTheme="minorEastAsia"/>
        </w:rPr>
        <w:t>.</w:t>
      </w:r>
      <w:r w:rsidR="00B51F4E">
        <w:rPr>
          <w:rFonts w:eastAsiaTheme="minorEastAsia"/>
        </w:rPr>
        <w:t xml:space="preserve"> The changes in the interest rate are also influenced by the </w:t>
      </w:r>
      <w:r w:rsidR="00A474DF">
        <w:rPr>
          <w:rFonts w:eastAsiaTheme="minorEastAsia"/>
        </w:rPr>
        <w:t xml:space="preserve">prepayments, exercise of put, and call options is a </w:t>
      </w:r>
      <w:r w:rsidR="00A7796B">
        <w:rPr>
          <w:rFonts w:eastAsiaTheme="minorEastAsia"/>
        </w:rPr>
        <w:t>hedging</w:t>
      </w:r>
      <w:r w:rsidR="00A474DF">
        <w:rPr>
          <w:rFonts w:eastAsiaTheme="minorEastAsia"/>
        </w:rPr>
        <w:t xml:space="preserve"> process for the bond</w:t>
      </w:r>
      <w:sdt>
        <w:sdtPr>
          <w:rPr>
            <w:rFonts w:eastAsiaTheme="minorEastAsia"/>
          </w:rPr>
          <w:id w:val="961618764"/>
          <w:citation/>
        </w:sdtPr>
        <w:sdtEndPr/>
        <w:sdtContent>
          <w:r w:rsidR="007C7505">
            <w:rPr>
              <w:rFonts w:eastAsiaTheme="minorEastAsia"/>
            </w:rPr>
            <w:fldChar w:fldCharType="begin"/>
          </w:r>
          <w:r w:rsidR="007C7505">
            <w:rPr>
              <w:rFonts w:eastAsiaTheme="minorEastAsia"/>
            </w:rPr>
            <w:instrText xml:space="preserve"> CITATION SAR08 \l 1033 </w:instrText>
          </w:r>
          <w:r w:rsidR="007C7505">
            <w:rPr>
              <w:rFonts w:eastAsiaTheme="minorEastAsia"/>
            </w:rPr>
            <w:fldChar w:fldCharType="separate"/>
          </w:r>
          <w:r w:rsidR="007C7505">
            <w:rPr>
              <w:rFonts w:eastAsiaTheme="minorEastAsia"/>
              <w:noProof/>
            </w:rPr>
            <w:t xml:space="preserve"> </w:t>
          </w:r>
          <w:r w:rsidR="007C7505" w:rsidRPr="007C7505">
            <w:rPr>
              <w:rFonts w:eastAsiaTheme="minorEastAsia"/>
              <w:noProof/>
            </w:rPr>
            <w:t>(Ross, Westerfield, &amp; Jordan, 2008)</w:t>
          </w:r>
          <w:r w:rsidR="007C7505">
            <w:rPr>
              <w:rFonts w:eastAsiaTheme="minorEastAsia"/>
            </w:rPr>
            <w:fldChar w:fldCharType="end"/>
          </w:r>
        </w:sdtContent>
      </w:sdt>
      <w:r w:rsidR="00A474DF">
        <w:rPr>
          <w:rFonts w:eastAsiaTheme="minorEastAsia"/>
        </w:rPr>
        <w:t>.</w:t>
      </w:r>
      <w:r w:rsidR="00A7796B">
        <w:rPr>
          <w:rFonts w:eastAsiaTheme="minorEastAsia"/>
        </w:rPr>
        <w:t xml:space="preserve"> </w:t>
      </w:r>
      <w:r w:rsidR="00463973">
        <w:rPr>
          <w:rFonts w:eastAsiaTheme="minorEastAsia"/>
        </w:rPr>
        <w:t xml:space="preserve">The modified duration also gives a specific </w:t>
      </w:r>
      <w:r w:rsidR="008E7E09">
        <w:rPr>
          <w:rFonts w:eastAsiaTheme="minorEastAsia"/>
        </w:rPr>
        <w:t>percentage of approximation</w:t>
      </w:r>
      <w:r w:rsidR="001E0A2B">
        <w:rPr>
          <w:rFonts w:eastAsiaTheme="minorEastAsia"/>
        </w:rPr>
        <w:t xml:space="preserve"> for a 100 basis point changes in interest rates</w:t>
      </w:r>
      <w:r w:rsidR="003321C2">
        <w:rPr>
          <w:rFonts w:eastAsiaTheme="minorEastAsia"/>
        </w:rPr>
        <w:t>.</w:t>
      </w:r>
      <w:r w:rsidR="008B6057">
        <w:rPr>
          <w:rFonts w:eastAsiaTheme="minorEastAsia"/>
        </w:rPr>
        <w:t xml:space="preserve"> This helps in the calculation of the bond value once the duration is applied.</w:t>
      </w:r>
    </w:p>
    <w:p w:rsidR="00135E60" w:rsidRDefault="00A618BE" w:rsidP="000110B0">
      <w:pPr>
        <w:pStyle w:val="ListParagraph"/>
        <w:numPr>
          <w:ilvl w:val="0"/>
          <w:numId w:val="4"/>
        </w:numPr>
        <w:rPr>
          <w:rFonts w:eastAsiaTheme="minorEastAsia"/>
        </w:rPr>
      </w:pPr>
      <w:r>
        <w:rPr>
          <w:rFonts w:eastAsiaTheme="minorEastAsia"/>
        </w:rPr>
        <w:t xml:space="preserve">The direction of change of modified </w:t>
      </w:r>
      <w:r w:rsidR="00135E60">
        <w:rPr>
          <w:rFonts w:eastAsiaTheme="minorEastAsia"/>
        </w:rPr>
        <w:t>duration</w:t>
      </w:r>
    </w:p>
    <w:p w:rsidR="002F155C" w:rsidRDefault="007D2BA0" w:rsidP="00135E60">
      <w:pPr>
        <w:pStyle w:val="ListParagraph"/>
        <w:numPr>
          <w:ilvl w:val="0"/>
          <w:numId w:val="5"/>
        </w:numPr>
        <w:rPr>
          <w:rFonts w:eastAsiaTheme="minorEastAsia"/>
        </w:rPr>
      </w:pPr>
      <w:r w:rsidRPr="002F155C">
        <w:rPr>
          <w:rFonts w:eastAsiaTheme="minorEastAsia"/>
        </w:rPr>
        <w:t xml:space="preserve">A decrease in the coupon rate from 8 percent to </w:t>
      </w:r>
      <w:r w:rsidR="00863765" w:rsidRPr="002F155C">
        <w:rPr>
          <w:rFonts w:eastAsiaTheme="minorEastAsia"/>
        </w:rPr>
        <w:t xml:space="preserve">4 percent will increase the modified duration because </w:t>
      </w:r>
      <w:r w:rsidR="004E66FF" w:rsidRPr="002F155C">
        <w:rPr>
          <w:rFonts w:eastAsiaTheme="minorEastAsia"/>
        </w:rPr>
        <w:t xml:space="preserve">a reduction in </w:t>
      </w:r>
      <w:r w:rsidR="002F155C">
        <w:rPr>
          <w:rFonts w:eastAsiaTheme="minorEastAsia"/>
        </w:rPr>
        <w:t xml:space="preserve">coupon rate will mean that there is a reduction in the change of the cash </w:t>
      </w:r>
      <w:r w:rsidR="007B75C0">
        <w:rPr>
          <w:rFonts w:eastAsiaTheme="minorEastAsia"/>
        </w:rPr>
        <w:t>flow, which</w:t>
      </w:r>
      <w:r w:rsidR="002F155C">
        <w:rPr>
          <w:rFonts w:eastAsiaTheme="minorEastAsia"/>
        </w:rPr>
        <w:t xml:space="preserve"> is removed from the timeline hence increasing the modified duration</w:t>
      </w:r>
      <w:sdt>
        <w:sdtPr>
          <w:rPr>
            <w:rFonts w:eastAsiaTheme="minorEastAsia"/>
          </w:rPr>
          <w:id w:val="-827895448"/>
          <w:citation/>
        </w:sdtPr>
        <w:sdtEndPr/>
        <w:sdtContent>
          <w:r w:rsidR="00D479AC">
            <w:rPr>
              <w:rFonts w:eastAsiaTheme="minorEastAsia"/>
            </w:rPr>
            <w:fldChar w:fldCharType="begin"/>
          </w:r>
          <w:r w:rsidR="00D479AC">
            <w:rPr>
              <w:rFonts w:eastAsiaTheme="minorEastAsia"/>
            </w:rPr>
            <w:instrText xml:space="preserve"> CITATION SAR08 \l 1033 </w:instrText>
          </w:r>
          <w:r w:rsidR="00D479AC">
            <w:rPr>
              <w:rFonts w:eastAsiaTheme="minorEastAsia"/>
            </w:rPr>
            <w:fldChar w:fldCharType="separate"/>
          </w:r>
          <w:r w:rsidR="00D479AC">
            <w:rPr>
              <w:rFonts w:eastAsiaTheme="minorEastAsia"/>
              <w:noProof/>
            </w:rPr>
            <w:t xml:space="preserve"> </w:t>
          </w:r>
          <w:r w:rsidR="00D479AC" w:rsidRPr="00D479AC">
            <w:rPr>
              <w:rFonts w:eastAsiaTheme="minorEastAsia"/>
              <w:noProof/>
            </w:rPr>
            <w:t>(Ross, Westerfield, &amp; Jordan, 2008)</w:t>
          </w:r>
          <w:r w:rsidR="00D479AC">
            <w:rPr>
              <w:rFonts w:eastAsiaTheme="minorEastAsia"/>
            </w:rPr>
            <w:fldChar w:fldCharType="end"/>
          </w:r>
        </w:sdtContent>
      </w:sdt>
      <w:r w:rsidR="002F155C">
        <w:rPr>
          <w:rFonts w:eastAsiaTheme="minorEastAsia"/>
        </w:rPr>
        <w:t>.</w:t>
      </w:r>
    </w:p>
    <w:p w:rsidR="00135E60" w:rsidRPr="002F155C" w:rsidRDefault="005E732F" w:rsidP="00135E60">
      <w:pPr>
        <w:pStyle w:val="ListParagraph"/>
        <w:numPr>
          <w:ilvl w:val="0"/>
          <w:numId w:val="5"/>
        </w:numPr>
        <w:rPr>
          <w:rFonts w:eastAsiaTheme="minorEastAsia"/>
        </w:rPr>
      </w:pPr>
      <w:r w:rsidRPr="002F155C">
        <w:rPr>
          <w:rFonts w:eastAsiaTheme="minorEastAsia"/>
        </w:rPr>
        <w:t>A change in the maturity of a bond from 15 years to 7 years wil</w:t>
      </w:r>
      <w:r w:rsidR="00E84438" w:rsidRPr="002F155C">
        <w:rPr>
          <w:rFonts w:eastAsiaTheme="minorEastAsia"/>
        </w:rPr>
        <w:t>l result into a reduction in the modified duration below the maturity of the bond.</w:t>
      </w:r>
      <w:r w:rsidR="00D35DE8" w:rsidRPr="002F155C">
        <w:rPr>
          <w:rFonts w:eastAsiaTheme="minorEastAsia"/>
        </w:rPr>
        <w:t xml:space="preserve"> This is because in a</w:t>
      </w:r>
      <w:r w:rsidR="00B82FA9" w:rsidRPr="002F155C">
        <w:rPr>
          <w:rFonts w:eastAsiaTheme="minorEastAsia"/>
        </w:rPr>
        <w:t xml:space="preserve"> v</w:t>
      </w:r>
      <w:r w:rsidR="00794B4A" w:rsidRPr="002F155C">
        <w:rPr>
          <w:rFonts w:eastAsiaTheme="minorEastAsia"/>
        </w:rPr>
        <w:t>anilla bond</w:t>
      </w:r>
      <w:r w:rsidR="007E4088" w:rsidRPr="002F155C">
        <w:rPr>
          <w:rFonts w:eastAsiaTheme="minorEastAsia"/>
        </w:rPr>
        <w:t xml:space="preserve">, the modified </w:t>
      </w:r>
      <w:r w:rsidR="00B91B1B" w:rsidRPr="002F155C">
        <w:rPr>
          <w:rFonts w:eastAsiaTheme="minorEastAsia"/>
        </w:rPr>
        <w:t>duration</w:t>
      </w:r>
      <w:r w:rsidR="00B82FA9" w:rsidRPr="002F155C">
        <w:rPr>
          <w:rFonts w:eastAsiaTheme="minorEastAsia"/>
        </w:rPr>
        <w:t xml:space="preserve"> </w:t>
      </w:r>
      <w:r w:rsidR="00725143" w:rsidRPr="002F155C">
        <w:rPr>
          <w:rFonts w:eastAsiaTheme="minorEastAsia"/>
        </w:rPr>
        <w:t xml:space="preserve">is always less than the </w:t>
      </w:r>
      <w:r w:rsidR="00F91EBC" w:rsidRPr="002F155C">
        <w:rPr>
          <w:rFonts w:eastAsiaTheme="minorEastAsia"/>
        </w:rPr>
        <w:t xml:space="preserve">time to </w:t>
      </w:r>
      <w:r w:rsidR="00725143" w:rsidRPr="002F155C">
        <w:rPr>
          <w:rFonts w:eastAsiaTheme="minorEastAsia"/>
        </w:rPr>
        <w:t>maturity of the bond</w:t>
      </w:r>
      <w:sdt>
        <w:sdtPr>
          <w:rPr>
            <w:rFonts w:eastAsiaTheme="minorEastAsia"/>
          </w:rPr>
          <w:id w:val="-562252597"/>
          <w:citation/>
        </w:sdtPr>
        <w:sdtEndPr/>
        <w:sdtContent>
          <w:r w:rsidR="00400373">
            <w:rPr>
              <w:rFonts w:eastAsiaTheme="minorEastAsia"/>
            </w:rPr>
            <w:fldChar w:fldCharType="begin"/>
          </w:r>
          <w:r w:rsidR="00400373">
            <w:rPr>
              <w:rFonts w:eastAsiaTheme="minorEastAsia"/>
            </w:rPr>
            <w:instrText xml:space="preserve"> CITATION SAR08 \l 1033 </w:instrText>
          </w:r>
          <w:r w:rsidR="00400373">
            <w:rPr>
              <w:rFonts w:eastAsiaTheme="minorEastAsia"/>
            </w:rPr>
            <w:fldChar w:fldCharType="separate"/>
          </w:r>
          <w:r w:rsidR="00400373">
            <w:rPr>
              <w:rFonts w:eastAsiaTheme="minorEastAsia"/>
              <w:noProof/>
            </w:rPr>
            <w:t xml:space="preserve"> </w:t>
          </w:r>
          <w:r w:rsidR="00400373" w:rsidRPr="00400373">
            <w:rPr>
              <w:rFonts w:eastAsiaTheme="minorEastAsia"/>
              <w:noProof/>
            </w:rPr>
            <w:t>(Ross, Westerfield, &amp; Jordan, 2008)</w:t>
          </w:r>
          <w:r w:rsidR="00400373">
            <w:rPr>
              <w:rFonts w:eastAsiaTheme="minorEastAsia"/>
            </w:rPr>
            <w:fldChar w:fldCharType="end"/>
          </w:r>
        </w:sdtContent>
      </w:sdt>
      <w:r w:rsidR="00725143" w:rsidRPr="002F155C">
        <w:rPr>
          <w:rFonts w:eastAsiaTheme="minorEastAsia"/>
        </w:rPr>
        <w:t>.</w:t>
      </w:r>
    </w:p>
    <w:p w:rsidR="00A618BE" w:rsidRDefault="00136C8D" w:rsidP="000110B0">
      <w:pPr>
        <w:pStyle w:val="ListParagraph"/>
        <w:numPr>
          <w:ilvl w:val="0"/>
          <w:numId w:val="4"/>
        </w:numPr>
        <w:rPr>
          <w:rFonts w:eastAsiaTheme="minorEastAsia"/>
        </w:rPr>
      </w:pPr>
      <w:r>
        <w:rPr>
          <w:rFonts w:eastAsiaTheme="minorEastAsia"/>
        </w:rPr>
        <w:t>Convexity is the measure of the curvature of the relationship between bon</w:t>
      </w:r>
      <w:r w:rsidR="00E637C0">
        <w:rPr>
          <w:rFonts w:eastAsiaTheme="minorEastAsia"/>
        </w:rPr>
        <w:t xml:space="preserve">d prices and bond </w:t>
      </w:r>
      <w:r w:rsidR="003C4371">
        <w:rPr>
          <w:rFonts w:eastAsiaTheme="minorEastAsia"/>
        </w:rPr>
        <w:t>yields, which</w:t>
      </w:r>
      <w:r w:rsidR="00E637C0">
        <w:rPr>
          <w:rFonts w:eastAsiaTheme="minorEastAsia"/>
        </w:rPr>
        <w:t xml:space="preserve"> shows how the duration of a bond changes </w:t>
      </w:r>
      <w:r w:rsidR="007410E6">
        <w:rPr>
          <w:rFonts w:eastAsiaTheme="minorEastAsia"/>
        </w:rPr>
        <w:t>because</w:t>
      </w:r>
      <w:r w:rsidR="00E637C0">
        <w:rPr>
          <w:rFonts w:eastAsiaTheme="minorEastAsia"/>
        </w:rPr>
        <w:t xml:space="preserve"> of the change in interest rates</w:t>
      </w:r>
      <w:sdt>
        <w:sdtPr>
          <w:rPr>
            <w:rFonts w:eastAsiaTheme="minorEastAsia"/>
          </w:rPr>
          <w:id w:val="1778437505"/>
          <w:citation/>
        </w:sdtPr>
        <w:sdtEndPr/>
        <w:sdtContent>
          <w:r w:rsidR="006644D0">
            <w:rPr>
              <w:rFonts w:eastAsiaTheme="minorEastAsia"/>
            </w:rPr>
            <w:fldChar w:fldCharType="begin"/>
          </w:r>
          <w:r w:rsidR="006644D0">
            <w:rPr>
              <w:rFonts w:eastAsiaTheme="minorEastAsia"/>
            </w:rPr>
            <w:instrText xml:space="preserve"> CITATION JLF97 \l 1033 </w:instrText>
          </w:r>
          <w:r w:rsidR="006644D0">
            <w:rPr>
              <w:rFonts w:eastAsiaTheme="minorEastAsia"/>
            </w:rPr>
            <w:fldChar w:fldCharType="separate"/>
          </w:r>
          <w:r w:rsidR="006644D0">
            <w:rPr>
              <w:rFonts w:eastAsiaTheme="minorEastAsia"/>
              <w:noProof/>
            </w:rPr>
            <w:t xml:space="preserve"> </w:t>
          </w:r>
          <w:r w:rsidR="006644D0" w:rsidRPr="006644D0">
            <w:rPr>
              <w:rFonts w:eastAsiaTheme="minorEastAsia"/>
              <w:noProof/>
            </w:rPr>
            <w:t>(Farrell &amp; Reinhart, 1997)</w:t>
          </w:r>
          <w:r w:rsidR="006644D0">
            <w:rPr>
              <w:rFonts w:eastAsiaTheme="minorEastAsia"/>
            </w:rPr>
            <w:fldChar w:fldCharType="end"/>
          </w:r>
        </w:sdtContent>
      </w:sdt>
      <w:r w:rsidR="00E637C0">
        <w:rPr>
          <w:rFonts w:eastAsiaTheme="minorEastAsia"/>
        </w:rPr>
        <w:t>.</w:t>
      </w:r>
      <w:r w:rsidR="00EF0D32">
        <w:rPr>
          <w:rFonts w:eastAsiaTheme="minorEastAsia"/>
        </w:rPr>
        <w:t xml:space="preserve"> Convexity is a risk measurement tool used to measure the market risk </w:t>
      </w:r>
      <w:r w:rsidR="003C4371">
        <w:rPr>
          <w:rFonts w:eastAsiaTheme="minorEastAsia"/>
        </w:rPr>
        <w:t>levels, which</w:t>
      </w:r>
      <w:r w:rsidR="00EF0D32">
        <w:rPr>
          <w:rFonts w:eastAsiaTheme="minorEastAsia"/>
        </w:rPr>
        <w:t xml:space="preserve"> a portfolio of bonds is exposed.</w:t>
      </w:r>
      <w:r w:rsidR="0083159C">
        <w:rPr>
          <w:rFonts w:eastAsiaTheme="minorEastAsia"/>
        </w:rPr>
        <w:t xml:space="preserve"> In this case, one can assume</w:t>
      </w:r>
      <w:r w:rsidR="00E31CB9">
        <w:rPr>
          <w:rFonts w:eastAsiaTheme="minorEastAsia"/>
        </w:rPr>
        <w:t xml:space="preserve"> that the interest rate of a bond is constant throughout the life of a bond</w:t>
      </w:r>
      <w:r w:rsidR="0088294A">
        <w:rPr>
          <w:rFonts w:eastAsiaTheme="minorEastAsia"/>
        </w:rPr>
        <w:t xml:space="preserve"> and when</w:t>
      </w:r>
      <w:r w:rsidR="000B7F91">
        <w:rPr>
          <w:rFonts w:eastAsiaTheme="minorEastAsia"/>
        </w:rPr>
        <w:t xml:space="preserve"> changes occur on the </w:t>
      </w:r>
      <w:r w:rsidR="007410E6">
        <w:rPr>
          <w:rFonts w:eastAsiaTheme="minorEastAsia"/>
        </w:rPr>
        <w:t>bond,</w:t>
      </w:r>
      <w:r w:rsidR="000B7F91">
        <w:rPr>
          <w:rFonts w:eastAsiaTheme="minorEastAsia"/>
        </w:rPr>
        <w:t xml:space="preserve"> it is normally even</w:t>
      </w:r>
      <w:r w:rsidR="003C4371">
        <w:rPr>
          <w:rFonts w:eastAsiaTheme="minorEastAsia"/>
        </w:rPr>
        <w:t>ly</w:t>
      </w:r>
      <w:sdt>
        <w:sdtPr>
          <w:rPr>
            <w:rFonts w:eastAsiaTheme="minorEastAsia"/>
          </w:rPr>
          <w:id w:val="-556477657"/>
          <w:citation/>
        </w:sdtPr>
        <w:sdtEndPr/>
        <w:sdtContent>
          <w:r w:rsidR="007E174C">
            <w:rPr>
              <w:rFonts w:eastAsiaTheme="minorEastAsia"/>
            </w:rPr>
            <w:fldChar w:fldCharType="begin"/>
          </w:r>
          <w:r w:rsidR="007E174C">
            <w:rPr>
              <w:rFonts w:eastAsiaTheme="minorEastAsia"/>
            </w:rPr>
            <w:instrText xml:space="preserve"> CITATION JLF97 \l 1033 </w:instrText>
          </w:r>
          <w:r w:rsidR="007E174C">
            <w:rPr>
              <w:rFonts w:eastAsiaTheme="minorEastAsia"/>
            </w:rPr>
            <w:fldChar w:fldCharType="separate"/>
          </w:r>
          <w:r w:rsidR="007E174C">
            <w:rPr>
              <w:rFonts w:eastAsiaTheme="minorEastAsia"/>
              <w:noProof/>
            </w:rPr>
            <w:t xml:space="preserve"> </w:t>
          </w:r>
          <w:r w:rsidR="007E174C" w:rsidRPr="007E174C">
            <w:rPr>
              <w:rFonts w:eastAsiaTheme="minorEastAsia"/>
              <w:noProof/>
            </w:rPr>
            <w:t>(Farrell &amp; Reinhart, 1997)</w:t>
          </w:r>
          <w:r w:rsidR="007E174C">
            <w:rPr>
              <w:rFonts w:eastAsiaTheme="minorEastAsia"/>
            </w:rPr>
            <w:fldChar w:fldCharType="end"/>
          </w:r>
        </w:sdtContent>
      </w:sdt>
      <w:r w:rsidR="000B7F91">
        <w:rPr>
          <w:rFonts w:eastAsiaTheme="minorEastAsia"/>
        </w:rPr>
        <w:t>.</w:t>
      </w:r>
    </w:p>
    <w:p w:rsidR="00F83B29" w:rsidRDefault="00F947C4" w:rsidP="00F83B29">
      <w:pPr>
        <w:pStyle w:val="ListParagraph"/>
        <w:ind w:left="1440" w:firstLine="0"/>
        <w:rPr>
          <w:rFonts w:eastAsiaTheme="minorEastAsia"/>
        </w:rPr>
      </w:pPr>
      <w:r>
        <w:rPr>
          <w:rFonts w:eastAsiaTheme="minorEastAsia"/>
        </w:rPr>
        <w:t>Duration of a bond to which is exposed to risk is dependent on the convexity</w:t>
      </w:r>
      <w:r w:rsidR="005F4273">
        <w:rPr>
          <w:rFonts w:eastAsiaTheme="minorEastAsia"/>
        </w:rPr>
        <w:t xml:space="preserve"> which helps in the de</w:t>
      </w:r>
      <w:r w:rsidR="009907DE">
        <w:rPr>
          <w:rFonts w:eastAsiaTheme="minorEastAsia"/>
        </w:rPr>
        <w:t>termination of the percentage in price changes of the bond. At this case, as the convexity</w:t>
      </w:r>
      <w:r w:rsidR="00DC7C6F">
        <w:rPr>
          <w:rFonts w:eastAsiaTheme="minorEastAsia"/>
        </w:rPr>
        <w:t xml:space="preserve"> increase</w:t>
      </w:r>
      <w:r w:rsidR="00412A16">
        <w:rPr>
          <w:rFonts w:eastAsiaTheme="minorEastAsia"/>
        </w:rPr>
        <w:t>s, the exposure of the bond to risk</w:t>
      </w:r>
      <w:r w:rsidR="000A5FAC">
        <w:rPr>
          <w:rFonts w:eastAsiaTheme="minorEastAsia"/>
        </w:rPr>
        <w:t xml:space="preserve"> also increases</w:t>
      </w:r>
      <w:sdt>
        <w:sdtPr>
          <w:rPr>
            <w:rFonts w:eastAsiaTheme="minorEastAsia"/>
          </w:rPr>
          <w:id w:val="1764336470"/>
          <w:citation/>
        </w:sdtPr>
        <w:sdtEndPr/>
        <w:sdtContent>
          <w:r w:rsidR="00C37C4F">
            <w:rPr>
              <w:rFonts w:eastAsiaTheme="minorEastAsia"/>
            </w:rPr>
            <w:fldChar w:fldCharType="begin"/>
          </w:r>
          <w:r w:rsidR="00C37C4F">
            <w:rPr>
              <w:rFonts w:eastAsiaTheme="minorEastAsia"/>
            </w:rPr>
            <w:instrText xml:space="preserve"> CITATION RAB121 \l 1033 </w:instrText>
          </w:r>
          <w:r w:rsidR="00C37C4F">
            <w:rPr>
              <w:rFonts w:eastAsiaTheme="minorEastAsia"/>
            </w:rPr>
            <w:fldChar w:fldCharType="separate"/>
          </w:r>
          <w:r w:rsidR="00C37C4F">
            <w:rPr>
              <w:rFonts w:eastAsiaTheme="minorEastAsia"/>
              <w:noProof/>
            </w:rPr>
            <w:t xml:space="preserve"> </w:t>
          </w:r>
          <w:r w:rsidR="00C37C4F" w:rsidRPr="00C37C4F">
            <w:rPr>
              <w:rFonts w:eastAsiaTheme="minorEastAsia"/>
              <w:noProof/>
            </w:rPr>
            <w:t>(Brealey, Myers, Allen, &amp; Mohanty, 2012)</w:t>
          </w:r>
          <w:r w:rsidR="00C37C4F">
            <w:rPr>
              <w:rFonts w:eastAsiaTheme="minorEastAsia"/>
            </w:rPr>
            <w:fldChar w:fldCharType="end"/>
          </w:r>
        </w:sdtContent>
      </w:sdt>
      <w:r w:rsidR="00703832">
        <w:rPr>
          <w:rFonts w:eastAsiaTheme="minorEastAsia"/>
        </w:rPr>
        <w:t>. Alternatively, as the convexity decreases the exposure to risk of the duration bond also decreases</w:t>
      </w:r>
      <w:r w:rsidR="00F0702A">
        <w:rPr>
          <w:rFonts w:eastAsiaTheme="minorEastAsia"/>
        </w:rPr>
        <w:t xml:space="preserve"> and the bond duration can be hedged.</w:t>
      </w:r>
    </w:p>
    <w:p w:rsidR="002F1535" w:rsidRDefault="008711DC" w:rsidP="008711DC">
      <w:pPr>
        <w:rPr>
          <w:rFonts w:eastAsiaTheme="minorEastAsia"/>
        </w:rPr>
      </w:pPr>
      <w:r>
        <w:rPr>
          <w:rFonts w:eastAsiaTheme="minorEastAsia"/>
        </w:rPr>
        <w:t>Question 6</w:t>
      </w:r>
    </w:p>
    <w:p w:rsidR="00BB328F" w:rsidRPr="00AD6F03" w:rsidRDefault="008711DC" w:rsidP="00BB328F">
      <w:pPr>
        <w:pStyle w:val="ListParagraph"/>
        <w:numPr>
          <w:ilvl w:val="0"/>
          <w:numId w:val="6"/>
        </w:numPr>
        <w:rPr>
          <w:rFonts w:eastAsiaTheme="minorEastAsia"/>
        </w:rPr>
      </w:pPr>
      <w:r>
        <w:t>Calculate the projected price change for Bond B if the yield to maturity for this bond falls by 75 basis points</w:t>
      </w:r>
    </w:p>
    <w:p w:rsidR="00AD6F03" w:rsidRDefault="00AD6F03" w:rsidP="00AD6F03">
      <w:pPr>
        <w:pStyle w:val="ListParagraph"/>
        <w:ind w:left="1440" w:firstLine="0"/>
        <w:rPr>
          <w:rFonts w:eastAsiaTheme="minorEastAsia"/>
        </w:rPr>
      </w:pPr>
      <w:r>
        <w:t xml:space="preserve">Since </w:t>
      </w:r>
      <w:r w:rsidR="006979F3">
        <w:t xml:space="preserve">yield to </w:t>
      </w:r>
      <w:r w:rsidR="007410E6">
        <w:t>maturity,</w:t>
      </w:r>
      <w:r w:rsidR="006979F3">
        <w:t xml:space="preserve"> bond falls by 75 basis and 1% is equal to 100 </w:t>
      </w:r>
      <w:r w:rsidR="007410E6">
        <w:t>basis</w:t>
      </w:r>
      <w:r w:rsidR="006979F3">
        <w:t>, therefore, this means the yield to maturity will</w:t>
      </w:r>
      <w:r w:rsidR="002B38A7">
        <w:t xml:space="preserve"> re</w:t>
      </w:r>
      <w:r w:rsidR="002112C7">
        <w:t xml:space="preserve">duce by </w:t>
      </w:r>
      <m:oMath>
        <m:f>
          <m:fPr>
            <m:ctrlPr>
              <w:rPr>
                <w:rFonts w:ascii="Cambria Math" w:hAnsi="Cambria Math"/>
                <w:i/>
              </w:rPr>
            </m:ctrlPr>
          </m:fPr>
          <m:num>
            <m:r>
              <w:rPr>
                <w:rFonts w:ascii="Cambria Math" w:hAnsi="Cambria Math"/>
              </w:rPr>
              <m:t>75</m:t>
            </m:r>
          </m:num>
          <m:den>
            <m:r>
              <w:rPr>
                <w:rFonts w:ascii="Cambria Math" w:hAnsi="Cambria Math"/>
              </w:rPr>
              <m:t>100</m:t>
            </m:r>
          </m:den>
        </m:f>
        <m:r>
          <w:rPr>
            <w:rFonts w:ascii="Cambria Math" w:hAnsi="Cambria Math"/>
          </w:rPr>
          <m:t>×1%=0.75%</m:t>
        </m:r>
      </m:oMath>
    </w:p>
    <w:p w:rsidR="002112C7" w:rsidRPr="00BB328F" w:rsidRDefault="002112C7" w:rsidP="00AD6F03">
      <w:pPr>
        <w:pStyle w:val="ListParagraph"/>
        <w:ind w:left="1440" w:firstLine="0"/>
        <w:rPr>
          <w:rFonts w:eastAsiaTheme="minorEastAsia"/>
        </w:rPr>
      </w:pPr>
      <w:r>
        <w:rPr>
          <w:rFonts w:eastAsiaTheme="minorEastAsia"/>
        </w:rPr>
        <w:t>Therefore, the yield to maturity will be</w:t>
      </w:r>
      <w:r w:rsidR="00901B33">
        <w:rPr>
          <w:rFonts w:eastAsiaTheme="minorEastAsia"/>
        </w:rPr>
        <w:t xml:space="preserve"> </w:t>
      </w:r>
      <m:oMath>
        <m:r>
          <w:rPr>
            <w:rFonts w:ascii="Cambria Math" w:eastAsiaTheme="minorEastAsia" w:hAnsi="Cambria Math"/>
          </w:rPr>
          <m:t>7.25% -0.75%=6.5%</m:t>
        </m:r>
      </m:oMath>
      <w:r w:rsidR="00901B33">
        <w:rPr>
          <w:rFonts w:eastAsiaTheme="minorEastAsia"/>
        </w:rPr>
        <w:t xml:space="preserve"> </w:t>
      </w:r>
    </w:p>
    <w:p w:rsidR="00463973" w:rsidRDefault="00847926" w:rsidP="00BB328F">
      <w:pPr>
        <w:pStyle w:val="ListParagraph"/>
        <w:ind w:left="1440" w:firstLine="0"/>
        <w:rPr>
          <w:rFonts w:eastAsiaTheme="minorEastAsia"/>
        </w:rPr>
      </w:pPr>
      <w:r w:rsidRPr="00BB328F">
        <w:rPr>
          <w:rFonts w:eastAsiaTheme="minorEastAsia"/>
        </w:rPr>
        <w:t>Projected bond price =</w:t>
      </w:r>
      <m:oMath>
        <m:f>
          <m:fPr>
            <m:ctrlPr>
              <w:rPr>
                <w:rFonts w:ascii="Cambria Math" w:eastAsiaTheme="minorEastAsia" w:hAnsi="Cambria Math"/>
                <w:i/>
              </w:rPr>
            </m:ctrlPr>
          </m:fPr>
          <m:num>
            <m:r>
              <m:rPr>
                <m:sty m:val="p"/>
              </m:rPr>
              <w:rPr>
                <w:rFonts w:ascii="Cambria Math" w:hAnsi="Cambria Math"/>
              </w:rPr>
              <m:t>100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1+6.5%</m:t>
                    </m:r>
                  </m:e>
                </m:d>
              </m:e>
              <m:sup>
                <m:r>
                  <w:rPr>
                    <w:rFonts w:ascii="Cambria Math" w:eastAsiaTheme="minorEastAsia" w:hAnsi="Cambria Math"/>
                  </w:rPr>
                  <m:t>1</m:t>
                </m:r>
              </m:sup>
            </m:sSup>
          </m:den>
        </m:f>
      </m:oMath>
      <w:r w:rsidR="00BC350A" w:rsidRPr="00BB328F">
        <w:rPr>
          <w:rFonts w:eastAsiaTheme="minorEastAsia"/>
        </w:rPr>
        <w:t>= $93.90</w:t>
      </w:r>
    </w:p>
    <w:p w:rsidR="00BB328F" w:rsidRPr="00BB328F" w:rsidRDefault="001967D7" w:rsidP="00BB328F">
      <w:pPr>
        <w:pStyle w:val="ListParagraph"/>
        <w:numPr>
          <w:ilvl w:val="0"/>
          <w:numId w:val="6"/>
        </w:numPr>
        <w:rPr>
          <w:rFonts w:eastAsiaTheme="minorEastAsia"/>
        </w:rPr>
      </w:pPr>
      <w:r>
        <w:rPr>
          <w:rFonts w:eastAsiaTheme="minorEastAsia"/>
        </w:rPr>
        <w:t xml:space="preserve">In analyzing Bon based on the </w:t>
      </w:r>
      <w:r w:rsidR="00720FF1">
        <w:rPr>
          <w:rFonts w:eastAsiaTheme="minorEastAsia"/>
        </w:rPr>
        <w:t>call,</w:t>
      </w:r>
      <w:r>
        <w:rPr>
          <w:rFonts w:eastAsiaTheme="minorEastAsia"/>
        </w:rPr>
        <w:t xml:space="preserve"> option or maturity </w:t>
      </w:r>
      <w:r w:rsidR="008565C1">
        <w:rPr>
          <w:rFonts w:eastAsiaTheme="minorEastAsia"/>
        </w:rPr>
        <w:t>provides some drawbacks</w:t>
      </w:r>
      <w:r w:rsidR="008831C3">
        <w:rPr>
          <w:rFonts w:eastAsiaTheme="minorEastAsia"/>
        </w:rPr>
        <w:t xml:space="preserve"> because call or maturity does not take into </w:t>
      </w:r>
      <w:r w:rsidR="003D555A">
        <w:rPr>
          <w:rFonts w:eastAsiaTheme="minorEastAsia"/>
        </w:rPr>
        <w:t>consideration</w:t>
      </w:r>
      <w:r w:rsidR="00D857F1">
        <w:rPr>
          <w:rFonts w:eastAsiaTheme="minorEastAsia"/>
        </w:rPr>
        <w:t xml:space="preserve"> the term structure of the interest rate</w:t>
      </w:r>
      <w:sdt>
        <w:sdtPr>
          <w:rPr>
            <w:rFonts w:eastAsiaTheme="minorEastAsia"/>
          </w:rPr>
          <w:id w:val="2107538048"/>
          <w:citation/>
        </w:sdtPr>
        <w:sdtEndPr/>
        <w:sdtContent>
          <w:r w:rsidR="002A2081">
            <w:rPr>
              <w:rFonts w:eastAsiaTheme="minorEastAsia"/>
            </w:rPr>
            <w:fldChar w:fldCharType="begin"/>
          </w:r>
          <w:r w:rsidR="002A2081">
            <w:rPr>
              <w:rFonts w:eastAsiaTheme="minorEastAsia"/>
            </w:rPr>
            <w:instrText xml:space="preserve"> CITATION JLF97 \l 1033 </w:instrText>
          </w:r>
          <w:r w:rsidR="002A2081">
            <w:rPr>
              <w:rFonts w:eastAsiaTheme="minorEastAsia"/>
            </w:rPr>
            <w:fldChar w:fldCharType="separate"/>
          </w:r>
          <w:r w:rsidR="002A2081">
            <w:rPr>
              <w:rFonts w:eastAsiaTheme="minorEastAsia"/>
              <w:noProof/>
            </w:rPr>
            <w:t xml:space="preserve"> </w:t>
          </w:r>
          <w:r w:rsidR="002A2081" w:rsidRPr="002A2081">
            <w:rPr>
              <w:rFonts w:eastAsiaTheme="minorEastAsia"/>
              <w:noProof/>
            </w:rPr>
            <w:t>(Farrell &amp; Reinhart, 1997)</w:t>
          </w:r>
          <w:r w:rsidR="002A2081">
            <w:rPr>
              <w:rFonts w:eastAsiaTheme="minorEastAsia"/>
            </w:rPr>
            <w:fldChar w:fldCharType="end"/>
          </w:r>
        </w:sdtContent>
      </w:sdt>
      <w:r w:rsidR="000401EC">
        <w:rPr>
          <w:rFonts w:eastAsiaTheme="minorEastAsia"/>
        </w:rPr>
        <w:t>. Therefore, changes in the interest rate might affect the duration of the bond.</w:t>
      </w:r>
      <w:r w:rsidR="004E3903">
        <w:rPr>
          <w:rFonts w:eastAsiaTheme="minorEastAsia"/>
        </w:rPr>
        <w:t xml:space="preserve"> In the case of a call option in analyzing a bond, </w:t>
      </w:r>
      <w:r w:rsidR="00720FF1">
        <w:rPr>
          <w:rFonts w:eastAsiaTheme="minorEastAsia"/>
        </w:rPr>
        <w:t>volatile interest</w:t>
      </w:r>
      <w:r w:rsidR="00524686">
        <w:rPr>
          <w:rFonts w:eastAsiaTheme="minorEastAsia"/>
        </w:rPr>
        <w:t xml:space="preserve"> rates</w:t>
      </w:r>
      <w:r w:rsidR="000D588E">
        <w:rPr>
          <w:rFonts w:eastAsiaTheme="minorEastAsia"/>
        </w:rPr>
        <w:t xml:space="preserve"> may affect the </w:t>
      </w:r>
      <w:r w:rsidR="00DF4137">
        <w:rPr>
          <w:rFonts w:eastAsiaTheme="minorEastAsia"/>
        </w:rPr>
        <w:t>cash</w:t>
      </w:r>
      <w:r w:rsidR="001C1871">
        <w:rPr>
          <w:rFonts w:eastAsiaTheme="minorEastAsia"/>
        </w:rPr>
        <w:t xml:space="preserve"> </w:t>
      </w:r>
      <w:r w:rsidR="00DF4137">
        <w:rPr>
          <w:rFonts w:eastAsiaTheme="minorEastAsia"/>
        </w:rPr>
        <w:t>flow of a bond</w:t>
      </w:r>
      <w:r w:rsidR="00B80FAE">
        <w:rPr>
          <w:rFonts w:eastAsiaTheme="minorEastAsia"/>
        </w:rPr>
        <w:t xml:space="preserve">. Therefore, in order to remedy for the shortcomings of call option it is important to consider duration of the bond and convexity within bond A. this will help in remedy of the interest rates </w:t>
      </w:r>
      <w:r w:rsidR="00720FF1">
        <w:rPr>
          <w:rFonts w:eastAsiaTheme="minorEastAsia"/>
        </w:rPr>
        <w:t>changes,</w:t>
      </w:r>
      <w:r w:rsidR="00B80FAE">
        <w:rPr>
          <w:rFonts w:eastAsiaTheme="minorEastAsia"/>
        </w:rPr>
        <w:t xml:space="preserve"> which is an important factor in analyzing a bond.</w:t>
      </w:r>
    </w:p>
    <w:sdt>
      <w:sdtPr>
        <w:rPr>
          <w:rFonts w:ascii="Times New Roman" w:eastAsiaTheme="minorHAnsi" w:hAnsi="Times New Roman" w:cstheme="minorBidi"/>
          <w:b w:val="0"/>
          <w:bCs w:val="0"/>
          <w:color w:val="auto"/>
          <w:sz w:val="24"/>
          <w:szCs w:val="22"/>
          <w:lang w:eastAsia="en-US"/>
        </w:rPr>
        <w:id w:val="1859156832"/>
        <w:docPartObj>
          <w:docPartGallery w:val="Bibliographies"/>
          <w:docPartUnique/>
        </w:docPartObj>
      </w:sdtPr>
      <w:sdtEndPr/>
      <w:sdtContent>
        <w:p w:rsidR="000F30EC" w:rsidRPr="000F30EC" w:rsidRDefault="000F30EC" w:rsidP="000F30EC">
          <w:pPr>
            <w:pStyle w:val="Heading1"/>
            <w:jc w:val="center"/>
            <w:rPr>
              <w:rFonts w:ascii="Times New Roman" w:hAnsi="Times New Roman" w:cs="Times New Roman"/>
              <w:b w:val="0"/>
              <w:color w:val="auto"/>
            </w:rPr>
          </w:pPr>
          <w:r w:rsidRPr="000F30EC">
            <w:rPr>
              <w:rFonts w:ascii="Times New Roman" w:hAnsi="Times New Roman" w:cs="Times New Roman"/>
              <w:b w:val="0"/>
              <w:color w:val="auto"/>
            </w:rPr>
            <w:t>Reference</w:t>
          </w:r>
        </w:p>
        <w:sdt>
          <w:sdtPr>
            <w:id w:val="111145805"/>
            <w:bibliography/>
          </w:sdtPr>
          <w:sdtEndPr/>
          <w:sdtContent>
            <w:p w:rsidR="000F30EC" w:rsidRDefault="000F30EC" w:rsidP="000F30EC">
              <w:pPr>
                <w:pStyle w:val="Bibliography"/>
                <w:ind w:left="720" w:hanging="720"/>
                <w:rPr>
                  <w:noProof/>
                </w:rPr>
              </w:pPr>
              <w:r>
                <w:fldChar w:fldCharType="begin"/>
              </w:r>
              <w:r>
                <w:instrText xml:space="preserve"> BIBLIOGRAPHY </w:instrText>
              </w:r>
              <w:r>
                <w:fldChar w:fldCharType="separate"/>
              </w:r>
              <w:r>
                <w:rPr>
                  <w:noProof/>
                </w:rPr>
                <w:t xml:space="preserve">Brealey, R., Myers, S., Allen, F., &amp; Mohanty, P. (2012). </w:t>
              </w:r>
              <w:r>
                <w:rPr>
                  <w:i/>
                  <w:iCs/>
                  <w:noProof/>
                </w:rPr>
                <w:t>Principles of corporate finance.</w:t>
              </w:r>
              <w:r>
                <w:rPr>
                  <w:noProof/>
                </w:rPr>
                <w:t xml:space="preserve"> Tata: McGraw-Hill Education.</w:t>
              </w:r>
            </w:p>
            <w:p w:rsidR="000F30EC" w:rsidRDefault="000F30EC" w:rsidP="000F30EC">
              <w:pPr>
                <w:pStyle w:val="Bibliography"/>
                <w:ind w:left="720" w:hanging="720"/>
                <w:rPr>
                  <w:noProof/>
                </w:rPr>
              </w:pPr>
              <w:r>
                <w:rPr>
                  <w:noProof/>
                </w:rPr>
                <w:t xml:space="preserve">Farrell, J., &amp; Reinhart, W. (1997). </w:t>
              </w:r>
              <w:r>
                <w:rPr>
                  <w:i/>
                  <w:iCs/>
                  <w:noProof/>
                </w:rPr>
                <w:t>Portfolio management: theory and application.</w:t>
              </w:r>
              <w:r>
                <w:rPr>
                  <w:noProof/>
                </w:rPr>
                <w:t xml:space="preserve"> New York: McGraw-Hill.</w:t>
              </w:r>
            </w:p>
            <w:p w:rsidR="000F30EC" w:rsidRDefault="000F30EC" w:rsidP="000F30EC">
              <w:pPr>
                <w:pStyle w:val="Bibliography"/>
                <w:ind w:left="720" w:hanging="720"/>
                <w:rPr>
                  <w:noProof/>
                </w:rPr>
              </w:pPr>
              <w:r>
                <w:rPr>
                  <w:noProof/>
                </w:rPr>
                <w:t xml:space="preserve">Ross, S., Westerfield, R., &amp; Jordan, B. (2008). </w:t>
              </w:r>
              <w:r>
                <w:rPr>
                  <w:i/>
                  <w:iCs/>
                  <w:noProof/>
                </w:rPr>
                <w:t>Fundamentals of corporate finance.</w:t>
              </w:r>
              <w:r>
                <w:rPr>
                  <w:noProof/>
                </w:rPr>
                <w:t xml:space="preserve"> Tata: McGraw-Hill Education.</w:t>
              </w:r>
            </w:p>
            <w:p w:rsidR="000F30EC" w:rsidRDefault="000F30EC" w:rsidP="000F30EC">
              <w:r>
                <w:rPr>
                  <w:b/>
                  <w:bCs/>
                  <w:noProof/>
                </w:rPr>
                <w:fldChar w:fldCharType="end"/>
              </w:r>
            </w:p>
          </w:sdtContent>
        </w:sdt>
      </w:sdtContent>
    </w:sdt>
    <w:p w:rsidR="00BB328F" w:rsidRPr="00463973" w:rsidRDefault="00BB328F" w:rsidP="00463973">
      <w:pPr>
        <w:ind w:left="1080" w:firstLine="0"/>
        <w:rPr>
          <w:rFonts w:eastAsiaTheme="minorEastAsia"/>
        </w:rPr>
      </w:pPr>
    </w:p>
    <w:sectPr w:rsidR="00BB328F" w:rsidRPr="00463973" w:rsidSect="008D7C92">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AD3" w:rsidRDefault="00447AD3" w:rsidP="008D7C92">
      <w:pPr>
        <w:spacing w:after="0" w:line="240" w:lineRule="auto"/>
      </w:pPr>
      <w:r>
        <w:separator/>
      </w:r>
    </w:p>
  </w:endnote>
  <w:endnote w:type="continuationSeparator" w:id="0">
    <w:p w:rsidR="00447AD3" w:rsidRDefault="00447AD3" w:rsidP="008D7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AD3" w:rsidRDefault="00447AD3" w:rsidP="008D7C92">
      <w:pPr>
        <w:spacing w:after="0" w:line="240" w:lineRule="auto"/>
      </w:pPr>
      <w:r>
        <w:separator/>
      </w:r>
    </w:p>
  </w:footnote>
  <w:footnote w:type="continuationSeparator" w:id="0">
    <w:p w:rsidR="00447AD3" w:rsidRDefault="00447AD3" w:rsidP="008D7C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6326564"/>
      <w:docPartObj>
        <w:docPartGallery w:val="Page Numbers (Top of Page)"/>
        <w:docPartUnique/>
      </w:docPartObj>
    </w:sdtPr>
    <w:sdtEndPr>
      <w:rPr>
        <w:noProof/>
      </w:rPr>
    </w:sdtEndPr>
    <w:sdtContent>
      <w:p w:rsidR="00B502AE" w:rsidRDefault="00B502AE" w:rsidP="00B502AE">
        <w:pPr>
          <w:pStyle w:val="Header"/>
          <w:ind w:firstLine="0"/>
        </w:pPr>
        <w:r>
          <w:t>CORPORATE FINANCE</w:t>
        </w:r>
        <w:r>
          <w:tab/>
        </w:r>
        <w:r>
          <w:tab/>
        </w:r>
        <w:r>
          <w:fldChar w:fldCharType="begin"/>
        </w:r>
        <w:r>
          <w:instrText xml:space="preserve"> PAGE   \* MERGEFORMAT </w:instrText>
        </w:r>
        <w:r>
          <w:fldChar w:fldCharType="separate"/>
        </w:r>
        <w:r w:rsidR="009C0027">
          <w:rPr>
            <w:noProof/>
          </w:rPr>
          <w:t>2</w:t>
        </w:r>
        <w:r>
          <w:rPr>
            <w:noProof/>
          </w:rPr>
          <w:fldChar w:fldCharType="end"/>
        </w:r>
      </w:p>
    </w:sdtContent>
  </w:sdt>
  <w:p w:rsidR="00B502AE" w:rsidRDefault="00B502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399094"/>
      <w:docPartObj>
        <w:docPartGallery w:val="Page Numbers (Top of Page)"/>
        <w:docPartUnique/>
      </w:docPartObj>
    </w:sdtPr>
    <w:sdtEndPr>
      <w:rPr>
        <w:noProof/>
      </w:rPr>
    </w:sdtEndPr>
    <w:sdtContent>
      <w:p w:rsidR="008D7C92" w:rsidRDefault="008D7C92" w:rsidP="00B93B6C">
        <w:pPr>
          <w:pStyle w:val="Header"/>
          <w:ind w:firstLine="0"/>
        </w:pPr>
        <w:r>
          <w:t xml:space="preserve">Running head: </w:t>
        </w:r>
        <w:r w:rsidR="00B93B6C">
          <w:t>CORPORATE FINANCE</w:t>
        </w:r>
        <w:r>
          <w:tab/>
        </w:r>
        <w:r>
          <w:tab/>
        </w:r>
        <w:r>
          <w:fldChar w:fldCharType="begin"/>
        </w:r>
        <w:r>
          <w:instrText xml:space="preserve"> PAGE   \* MERGEFORMAT </w:instrText>
        </w:r>
        <w:r>
          <w:fldChar w:fldCharType="separate"/>
        </w:r>
        <w:r w:rsidR="00447AD3">
          <w:rPr>
            <w:noProof/>
          </w:rPr>
          <w:t>1</w:t>
        </w:r>
        <w:r>
          <w:rPr>
            <w:noProof/>
          </w:rPr>
          <w:fldChar w:fldCharType="end"/>
        </w:r>
      </w:p>
    </w:sdtContent>
  </w:sdt>
  <w:p w:rsidR="008D7C92" w:rsidRDefault="008D7C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5B69"/>
    <w:multiLevelType w:val="hybridMultilevel"/>
    <w:tmpl w:val="660E7E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EC1C44"/>
    <w:multiLevelType w:val="hybridMultilevel"/>
    <w:tmpl w:val="399450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3D44C8"/>
    <w:multiLevelType w:val="hybridMultilevel"/>
    <w:tmpl w:val="C374C1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A06543A"/>
    <w:multiLevelType w:val="hybridMultilevel"/>
    <w:tmpl w:val="529ED7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6F6136"/>
    <w:multiLevelType w:val="hybridMultilevel"/>
    <w:tmpl w:val="C5C0D2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A424AE"/>
    <w:multiLevelType w:val="hybridMultilevel"/>
    <w:tmpl w:val="B950D8C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44547D3"/>
    <w:multiLevelType w:val="hybridMultilevel"/>
    <w:tmpl w:val="5B9A77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6"/>
  </w:num>
  <w:num w:numId="3">
    <w:abstractNumId w:val="0"/>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87"/>
    <w:rsid w:val="000041F0"/>
    <w:rsid w:val="000110B0"/>
    <w:rsid w:val="00023789"/>
    <w:rsid w:val="0002710D"/>
    <w:rsid w:val="00040124"/>
    <w:rsid w:val="000401EC"/>
    <w:rsid w:val="0004439C"/>
    <w:rsid w:val="00054408"/>
    <w:rsid w:val="00062A61"/>
    <w:rsid w:val="00073B3D"/>
    <w:rsid w:val="000A5FAC"/>
    <w:rsid w:val="000B4BAE"/>
    <w:rsid w:val="000B7F91"/>
    <w:rsid w:val="000D588E"/>
    <w:rsid w:val="000F30EC"/>
    <w:rsid w:val="00123DC0"/>
    <w:rsid w:val="001271DC"/>
    <w:rsid w:val="0013029F"/>
    <w:rsid w:val="00135E60"/>
    <w:rsid w:val="00136C8D"/>
    <w:rsid w:val="0014788B"/>
    <w:rsid w:val="00193123"/>
    <w:rsid w:val="00195F64"/>
    <w:rsid w:val="001967D7"/>
    <w:rsid w:val="001A6587"/>
    <w:rsid w:val="001C1871"/>
    <w:rsid w:val="001D061F"/>
    <w:rsid w:val="001D1D2C"/>
    <w:rsid w:val="001D481F"/>
    <w:rsid w:val="001D76CA"/>
    <w:rsid w:val="001E0A2B"/>
    <w:rsid w:val="001E124A"/>
    <w:rsid w:val="001F3220"/>
    <w:rsid w:val="002112C7"/>
    <w:rsid w:val="00215700"/>
    <w:rsid w:val="00217463"/>
    <w:rsid w:val="0022011A"/>
    <w:rsid w:val="00220A5F"/>
    <w:rsid w:val="002529F4"/>
    <w:rsid w:val="00257797"/>
    <w:rsid w:val="00261D5D"/>
    <w:rsid w:val="00263CDC"/>
    <w:rsid w:val="00280213"/>
    <w:rsid w:val="002816F3"/>
    <w:rsid w:val="002A2081"/>
    <w:rsid w:val="002B38A7"/>
    <w:rsid w:val="002D7F9D"/>
    <w:rsid w:val="002F1535"/>
    <w:rsid w:val="002F155C"/>
    <w:rsid w:val="002F27D1"/>
    <w:rsid w:val="002F2C7A"/>
    <w:rsid w:val="00304EF8"/>
    <w:rsid w:val="00314413"/>
    <w:rsid w:val="003321C2"/>
    <w:rsid w:val="00333433"/>
    <w:rsid w:val="003517C3"/>
    <w:rsid w:val="003A6CDD"/>
    <w:rsid w:val="003C4371"/>
    <w:rsid w:val="003D555A"/>
    <w:rsid w:val="003D70A1"/>
    <w:rsid w:val="003E3147"/>
    <w:rsid w:val="003F0095"/>
    <w:rsid w:val="00400373"/>
    <w:rsid w:val="00401802"/>
    <w:rsid w:val="00412A16"/>
    <w:rsid w:val="0041436A"/>
    <w:rsid w:val="004165AE"/>
    <w:rsid w:val="00422F65"/>
    <w:rsid w:val="004234FA"/>
    <w:rsid w:val="00435CD2"/>
    <w:rsid w:val="004479B0"/>
    <w:rsid w:val="00447AD3"/>
    <w:rsid w:val="00463973"/>
    <w:rsid w:val="0046666B"/>
    <w:rsid w:val="00471E21"/>
    <w:rsid w:val="00471E77"/>
    <w:rsid w:val="00472F2F"/>
    <w:rsid w:val="004818AB"/>
    <w:rsid w:val="004E3903"/>
    <w:rsid w:val="004E66FF"/>
    <w:rsid w:val="00524686"/>
    <w:rsid w:val="005524C1"/>
    <w:rsid w:val="00557ECC"/>
    <w:rsid w:val="00581059"/>
    <w:rsid w:val="00595627"/>
    <w:rsid w:val="005D2E29"/>
    <w:rsid w:val="005E618D"/>
    <w:rsid w:val="005E732F"/>
    <w:rsid w:val="005F4273"/>
    <w:rsid w:val="005F73CA"/>
    <w:rsid w:val="00630E9B"/>
    <w:rsid w:val="00635DE7"/>
    <w:rsid w:val="00640070"/>
    <w:rsid w:val="0065178C"/>
    <w:rsid w:val="00653AE6"/>
    <w:rsid w:val="006644D0"/>
    <w:rsid w:val="0067342E"/>
    <w:rsid w:val="006740A1"/>
    <w:rsid w:val="00684747"/>
    <w:rsid w:val="006869B8"/>
    <w:rsid w:val="006979F3"/>
    <w:rsid w:val="006C2467"/>
    <w:rsid w:val="006D3E88"/>
    <w:rsid w:val="006D50B1"/>
    <w:rsid w:val="006E038D"/>
    <w:rsid w:val="006F653E"/>
    <w:rsid w:val="00703832"/>
    <w:rsid w:val="0070536A"/>
    <w:rsid w:val="00715E29"/>
    <w:rsid w:val="00720FF1"/>
    <w:rsid w:val="00725143"/>
    <w:rsid w:val="007410E6"/>
    <w:rsid w:val="00751B35"/>
    <w:rsid w:val="0076481C"/>
    <w:rsid w:val="007741F6"/>
    <w:rsid w:val="0078094F"/>
    <w:rsid w:val="00781362"/>
    <w:rsid w:val="00786E27"/>
    <w:rsid w:val="00790842"/>
    <w:rsid w:val="007917D1"/>
    <w:rsid w:val="00794B4A"/>
    <w:rsid w:val="007A3ADF"/>
    <w:rsid w:val="007B75C0"/>
    <w:rsid w:val="007C7505"/>
    <w:rsid w:val="007D2BA0"/>
    <w:rsid w:val="007E174C"/>
    <w:rsid w:val="007E4088"/>
    <w:rsid w:val="007F54AB"/>
    <w:rsid w:val="0081310F"/>
    <w:rsid w:val="00822060"/>
    <w:rsid w:val="008307C7"/>
    <w:rsid w:val="0083159C"/>
    <w:rsid w:val="0084156E"/>
    <w:rsid w:val="008428BB"/>
    <w:rsid w:val="00847926"/>
    <w:rsid w:val="008565C1"/>
    <w:rsid w:val="00861CA1"/>
    <w:rsid w:val="00863765"/>
    <w:rsid w:val="008711DC"/>
    <w:rsid w:val="0087134A"/>
    <w:rsid w:val="00871395"/>
    <w:rsid w:val="00881F42"/>
    <w:rsid w:val="0088294A"/>
    <w:rsid w:val="008831C3"/>
    <w:rsid w:val="008B6057"/>
    <w:rsid w:val="008D68C5"/>
    <w:rsid w:val="008D7C92"/>
    <w:rsid w:val="008E0BE0"/>
    <w:rsid w:val="008E7E09"/>
    <w:rsid w:val="008F4113"/>
    <w:rsid w:val="008F705D"/>
    <w:rsid w:val="00901636"/>
    <w:rsid w:val="00901B33"/>
    <w:rsid w:val="00907A52"/>
    <w:rsid w:val="009111E9"/>
    <w:rsid w:val="009311B6"/>
    <w:rsid w:val="00932858"/>
    <w:rsid w:val="00944544"/>
    <w:rsid w:val="009449C1"/>
    <w:rsid w:val="00955DB1"/>
    <w:rsid w:val="00956517"/>
    <w:rsid w:val="009636A8"/>
    <w:rsid w:val="00987F58"/>
    <w:rsid w:val="009907DE"/>
    <w:rsid w:val="009C0027"/>
    <w:rsid w:val="009D5856"/>
    <w:rsid w:val="009F4959"/>
    <w:rsid w:val="009F67E9"/>
    <w:rsid w:val="00A262A4"/>
    <w:rsid w:val="00A4460B"/>
    <w:rsid w:val="00A474DF"/>
    <w:rsid w:val="00A618BE"/>
    <w:rsid w:val="00A72603"/>
    <w:rsid w:val="00A7796B"/>
    <w:rsid w:val="00A859B6"/>
    <w:rsid w:val="00A8617C"/>
    <w:rsid w:val="00A87F2E"/>
    <w:rsid w:val="00A92C56"/>
    <w:rsid w:val="00A93091"/>
    <w:rsid w:val="00A958EC"/>
    <w:rsid w:val="00AA2FAC"/>
    <w:rsid w:val="00AB49B6"/>
    <w:rsid w:val="00AD1B3F"/>
    <w:rsid w:val="00AD6F03"/>
    <w:rsid w:val="00AF3EA7"/>
    <w:rsid w:val="00AF4B0C"/>
    <w:rsid w:val="00B12C00"/>
    <w:rsid w:val="00B451CB"/>
    <w:rsid w:val="00B502AE"/>
    <w:rsid w:val="00B51F4E"/>
    <w:rsid w:val="00B530D3"/>
    <w:rsid w:val="00B80FAE"/>
    <w:rsid w:val="00B82FA9"/>
    <w:rsid w:val="00B91B1B"/>
    <w:rsid w:val="00B926C7"/>
    <w:rsid w:val="00B93B6C"/>
    <w:rsid w:val="00BB328F"/>
    <w:rsid w:val="00BB4680"/>
    <w:rsid w:val="00BC350A"/>
    <w:rsid w:val="00BC7961"/>
    <w:rsid w:val="00BD05DC"/>
    <w:rsid w:val="00BF2B7F"/>
    <w:rsid w:val="00C12ED9"/>
    <w:rsid w:val="00C37C4F"/>
    <w:rsid w:val="00C5265D"/>
    <w:rsid w:val="00C61CBA"/>
    <w:rsid w:val="00CF3D59"/>
    <w:rsid w:val="00CF4A58"/>
    <w:rsid w:val="00D00293"/>
    <w:rsid w:val="00D35DE8"/>
    <w:rsid w:val="00D4611C"/>
    <w:rsid w:val="00D479AC"/>
    <w:rsid w:val="00D7088C"/>
    <w:rsid w:val="00D857F1"/>
    <w:rsid w:val="00D9159F"/>
    <w:rsid w:val="00DA74C5"/>
    <w:rsid w:val="00DB064D"/>
    <w:rsid w:val="00DB261B"/>
    <w:rsid w:val="00DC2196"/>
    <w:rsid w:val="00DC374B"/>
    <w:rsid w:val="00DC7C6F"/>
    <w:rsid w:val="00DD4A1D"/>
    <w:rsid w:val="00DE40C8"/>
    <w:rsid w:val="00DF4137"/>
    <w:rsid w:val="00DF7A2D"/>
    <w:rsid w:val="00E31CB9"/>
    <w:rsid w:val="00E3706F"/>
    <w:rsid w:val="00E467F6"/>
    <w:rsid w:val="00E50C3C"/>
    <w:rsid w:val="00E637C0"/>
    <w:rsid w:val="00E77CDF"/>
    <w:rsid w:val="00E84438"/>
    <w:rsid w:val="00E91CF5"/>
    <w:rsid w:val="00ED38A7"/>
    <w:rsid w:val="00EF0D32"/>
    <w:rsid w:val="00F02E64"/>
    <w:rsid w:val="00F0702A"/>
    <w:rsid w:val="00F15B9C"/>
    <w:rsid w:val="00F46278"/>
    <w:rsid w:val="00F536DA"/>
    <w:rsid w:val="00F615DB"/>
    <w:rsid w:val="00F80028"/>
    <w:rsid w:val="00F81AB0"/>
    <w:rsid w:val="00F839B6"/>
    <w:rsid w:val="00F83B29"/>
    <w:rsid w:val="00F91EBC"/>
    <w:rsid w:val="00F947C4"/>
    <w:rsid w:val="00FC2837"/>
    <w:rsid w:val="00FC3D09"/>
    <w:rsid w:val="00FE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60B"/>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0F30EC"/>
    <w:pPr>
      <w:keepNext/>
      <w:keepLines/>
      <w:spacing w:before="480" w:after="0" w:line="276" w:lineRule="auto"/>
      <w:ind w:firstLine="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53AE6"/>
    <w:pPr>
      <w:spacing w:after="0" w:line="480" w:lineRule="auto"/>
      <w:jc w:val="center"/>
    </w:pPr>
    <w:rPr>
      <w:rFonts w:ascii="Times New Roman" w:hAnsi="Times New Roman"/>
      <w:sz w:val="24"/>
    </w:rPr>
  </w:style>
  <w:style w:type="paragraph" w:styleId="ListParagraph">
    <w:name w:val="List Paragraph"/>
    <w:basedOn w:val="Normal"/>
    <w:uiPriority w:val="34"/>
    <w:qFormat/>
    <w:rsid w:val="007F54AB"/>
    <w:pPr>
      <w:ind w:left="720"/>
      <w:contextualSpacing/>
    </w:pPr>
  </w:style>
  <w:style w:type="character" w:styleId="PlaceholderText">
    <w:name w:val="Placeholder Text"/>
    <w:basedOn w:val="DefaultParagraphFont"/>
    <w:uiPriority w:val="99"/>
    <w:semiHidden/>
    <w:rsid w:val="005F73CA"/>
    <w:rPr>
      <w:color w:val="808080"/>
    </w:rPr>
  </w:style>
  <w:style w:type="paragraph" w:styleId="BalloonText">
    <w:name w:val="Balloon Text"/>
    <w:basedOn w:val="Normal"/>
    <w:link w:val="BalloonTextChar"/>
    <w:uiPriority w:val="99"/>
    <w:semiHidden/>
    <w:unhideWhenUsed/>
    <w:rsid w:val="005F73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3CA"/>
    <w:rPr>
      <w:rFonts w:ascii="Tahoma" w:hAnsi="Tahoma" w:cs="Tahoma"/>
      <w:sz w:val="16"/>
      <w:szCs w:val="16"/>
    </w:rPr>
  </w:style>
  <w:style w:type="table" w:styleId="TableGrid">
    <w:name w:val="Table Grid"/>
    <w:basedOn w:val="TableNormal"/>
    <w:uiPriority w:val="59"/>
    <w:rsid w:val="00653A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F30EC"/>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0F30EC"/>
  </w:style>
  <w:style w:type="paragraph" w:styleId="Header">
    <w:name w:val="header"/>
    <w:basedOn w:val="Normal"/>
    <w:link w:val="HeaderChar"/>
    <w:uiPriority w:val="99"/>
    <w:unhideWhenUsed/>
    <w:rsid w:val="008D7C92"/>
    <w:pPr>
      <w:tabs>
        <w:tab w:val="center" w:pos="4680"/>
        <w:tab w:val="right" w:pos="9360"/>
      </w:tabs>
      <w:spacing w:after="0"/>
    </w:pPr>
  </w:style>
  <w:style w:type="character" w:customStyle="1" w:styleId="HeaderChar">
    <w:name w:val="Header Char"/>
    <w:basedOn w:val="DefaultParagraphFont"/>
    <w:link w:val="Header"/>
    <w:uiPriority w:val="99"/>
    <w:rsid w:val="008D7C92"/>
    <w:rPr>
      <w:rFonts w:ascii="Times New Roman" w:hAnsi="Times New Roman"/>
      <w:sz w:val="24"/>
    </w:rPr>
  </w:style>
  <w:style w:type="paragraph" w:styleId="Footer">
    <w:name w:val="footer"/>
    <w:basedOn w:val="Normal"/>
    <w:link w:val="FooterChar"/>
    <w:uiPriority w:val="99"/>
    <w:unhideWhenUsed/>
    <w:rsid w:val="008D7C92"/>
    <w:pPr>
      <w:tabs>
        <w:tab w:val="center" w:pos="4680"/>
        <w:tab w:val="right" w:pos="9360"/>
      </w:tabs>
      <w:spacing w:after="0"/>
    </w:pPr>
  </w:style>
  <w:style w:type="character" w:customStyle="1" w:styleId="FooterChar">
    <w:name w:val="Footer Char"/>
    <w:basedOn w:val="DefaultParagraphFont"/>
    <w:link w:val="Footer"/>
    <w:uiPriority w:val="99"/>
    <w:rsid w:val="008D7C9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60B"/>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0F30EC"/>
    <w:pPr>
      <w:keepNext/>
      <w:keepLines/>
      <w:spacing w:before="480" w:after="0" w:line="276" w:lineRule="auto"/>
      <w:ind w:firstLine="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53AE6"/>
    <w:pPr>
      <w:spacing w:after="0" w:line="480" w:lineRule="auto"/>
      <w:jc w:val="center"/>
    </w:pPr>
    <w:rPr>
      <w:rFonts w:ascii="Times New Roman" w:hAnsi="Times New Roman"/>
      <w:sz w:val="24"/>
    </w:rPr>
  </w:style>
  <w:style w:type="paragraph" w:styleId="ListParagraph">
    <w:name w:val="List Paragraph"/>
    <w:basedOn w:val="Normal"/>
    <w:uiPriority w:val="34"/>
    <w:qFormat/>
    <w:rsid w:val="007F54AB"/>
    <w:pPr>
      <w:ind w:left="720"/>
      <w:contextualSpacing/>
    </w:pPr>
  </w:style>
  <w:style w:type="character" w:styleId="PlaceholderText">
    <w:name w:val="Placeholder Text"/>
    <w:basedOn w:val="DefaultParagraphFont"/>
    <w:uiPriority w:val="99"/>
    <w:semiHidden/>
    <w:rsid w:val="005F73CA"/>
    <w:rPr>
      <w:color w:val="808080"/>
    </w:rPr>
  </w:style>
  <w:style w:type="paragraph" w:styleId="BalloonText">
    <w:name w:val="Balloon Text"/>
    <w:basedOn w:val="Normal"/>
    <w:link w:val="BalloonTextChar"/>
    <w:uiPriority w:val="99"/>
    <w:semiHidden/>
    <w:unhideWhenUsed/>
    <w:rsid w:val="005F73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3CA"/>
    <w:rPr>
      <w:rFonts w:ascii="Tahoma" w:hAnsi="Tahoma" w:cs="Tahoma"/>
      <w:sz w:val="16"/>
      <w:szCs w:val="16"/>
    </w:rPr>
  </w:style>
  <w:style w:type="table" w:styleId="TableGrid">
    <w:name w:val="Table Grid"/>
    <w:basedOn w:val="TableNormal"/>
    <w:uiPriority w:val="59"/>
    <w:rsid w:val="00653A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F30EC"/>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0F30EC"/>
  </w:style>
  <w:style w:type="paragraph" w:styleId="Header">
    <w:name w:val="header"/>
    <w:basedOn w:val="Normal"/>
    <w:link w:val="HeaderChar"/>
    <w:uiPriority w:val="99"/>
    <w:unhideWhenUsed/>
    <w:rsid w:val="008D7C92"/>
    <w:pPr>
      <w:tabs>
        <w:tab w:val="center" w:pos="4680"/>
        <w:tab w:val="right" w:pos="9360"/>
      </w:tabs>
      <w:spacing w:after="0"/>
    </w:pPr>
  </w:style>
  <w:style w:type="character" w:customStyle="1" w:styleId="HeaderChar">
    <w:name w:val="Header Char"/>
    <w:basedOn w:val="DefaultParagraphFont"/>
    <w:link w:val="Header"/>
    <w:uiPriority w:val="99"/>
    <w:rsid w:val="008D7C92"/>
    <w:rPr>
      <w:rFonts w:ascii="Times New Roman" w:hAnsi="Times New Roman"/>
      <w:sz w:val="24"/>
    </w:rPr>
  </w:style>
  <w:style w:type="paragraph" w:styleId="Footer">
    <w:name w:val="footer"/>
    <w:basedOn w:val="Normal"/>
    <w:link w:val="FooterChar"/>
    <w:uiPriority w:val="99"/>
    <w:unhideWhenUsed/>
    <w:rsid w:val="008D7C92"/>
    <w:pPr>
      <w:tabs>
        <w:tab w:val="center" w:pos="4680"/>
        <w:tab w:val="right" w:pos="9360"/>
      </w:tabs>
      <w:spacing w:after="0"/>
    </w:pPr>
  </w:style>
  <w:style w:type="character" w:customStyle="1" w:styleId="FooterChar">
    <w:name w:val="Footer Char"/>
    <w:basedOn w:val="DefaultParagraphFont"/>
    <w:link w:val="Footer"/>
    <w:uiPriority w:val="99"/>
    <w:rsid w:val="008D7C9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SAR08</b:Tag>
    <b:SourceType>Book</b:SourceType>
    <b:Guid>{15D63913-8451-4E62-B035-78D878DB3D45}</b:Guid>
    <b:Title>Fundamentals of corporate finance</b:Title>
    <b:Year>2008</b:Year>
    <b:Publisher>McGraw-Hill Education</b:Publisher>
    <b:City> Tata</b:City>
    <b:Author>
      <b:Author>
        <b:NameList>
          <b:Person>
            <b:Last>Ross</b:Last>
            <b:First>SA</b:First>
          </b:Person>
          <b:Person>
            <b:Last>Westerfield</b:Last>
            <b:First>R</b:First>
          </b:Person>
          <b:Person>
            <b:Last>Jordan</b:Last>
            <b:First>BD</b:First>
          </b:Person>
        </b:NameList>
      </b:Author>
    </b:Author>
    <b:RefOrder>2</b:RefOrder>
  </b:Source>
  <b:Source>
    <b:Tag>RAB121</b:Tag>
    <b:SourceType>Book</b:SourceType>
    <b:Guid>{A1CA2E54-0952-447F-9C12-2B6BC74B5109}</b:Guid>
    <b:Title>Principles of corporate finance</b:Title>
    <b:Year>2012</b:Year>
    <b:City> Tata</b:City>
    <b:Publisher>McGraw-Hill Education</b:Publisher>
    <b:Author>
      <b:Author>
        <b:NameList>
          <b:Person>
            <b:Last>Brealey</b:Last>
            <b:First>RA</b:First>
          </b:Person>
          <b:Person>
            <b:Last>Myers</b:Last>
            <b:First>SC</b:First>
          </b:Person>
          <b:Person>
            <b:Last>Allen</b:Last>
            <b:First>F</b:First>
          </b:Person>
          <b:Person>
            <b:Last>Mohanty</b:Last>
            <b:First>P</b:First>
          </b:Person>
        </b:NameList>
      </b:Author>
    </b:Author>
    <b:RefOrder>1</b:RefOrder>
  </b:Source>
  <b:Source>
    <b:Tag>JLF97</b:Tag>
    <b:SourceType>Book</b:SourceType>
    <b:Guid>{DF4DAEB5-ABA2-48E2-9D90-166677954745}</b:Guid>
    <b:Title>Portfolio management: theory and application</b:Title>
    <b:Year>1997</b:Year>
    <b:City>New York</b:City>
    <b:Publisher>McGraw-Hill</b:Publisher>
    <b:Author>
      <b:Author>
        <b:NameList>
          <b:Person>
            <b:Last>Farrell</b:Last>
            <b:First>JL</b:First>
          </b:Person>
          <b:Person>
            <b:Last>Reinhart</b:Last>
            <b:First>WJ</b:First>
          </b:Person>
        </b:NameList>
      </b:Author>
    </b:Author>
    <b:RefOrder>3</b:RefOrder>
  </b:Source>
</b:Sources>
</file>

<file path=customXml/itemProps1.xml><?xml version="1.0" encoding="utf-8"?>
<ds:datastoreItem xmlns:ds="http://schemas.openxmlformats.org/officeDocument/2006/customXml" ds:itemID="{D19503A3-8D95-40FC-B827-784FAD31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770</Words>
  <Characters>4389</Characters>
  <Application>Microsoft Office Word</Application>
  <DocSecurity>0</DocSecurity>
  <Lines>36</Lines>
  <Paragraphs>10</Paragraphs>
  <ScaleCrop>false</ScaleCrop>
  <Company>Hewlett-Packard Company</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Obange</dc:creator>
  <cp:lastModifiedBy>Neil Obange</cp:lastModifiedBy>
  <cp:revision>267</cp:revision>
  <dcterms:created xsi:type="dcterms:W3CDTF">2016-04-20T20:09:00Z</dcterms:created>
  <dcterms:modified xsi:type="dcterms:W3CDTF">2016-04-21T00:49:00Z</dcterms:modified>
</cp:coreProperties>
</file>