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AE" w:rsidRDefault="00366BAE" w:rsidP="000E1BF5">
      <w:pPr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CC6279" w:rsidRDefault="00CC6279" w:rsidP="00366BAE">
      <w:pPr>
        <w:tabs>
          <w:tab w:val="left" w:pos="3570"/>
        </w:tabs>
        <w:spacing w:line="259" w:lineRule="auto"/>
        <w:ind w:firstLine="0"/>
        <w:jc w:val="center"/>
      </w:pPr>
    </w:p>
    <w:p w:rsidR="00366BAE" w:rsidRDefault="00366BAE" w:rsidP="00366BAE">
      <w:pPr>
        <w:tabs>
          <w:tab w:val="left" w:pos="3570"/>
        </w:tabs>
        <w:spacing w:line="259" w:lineRule="auto"/>
        <w:ind w:firstLine="0"/>
        <w:jc w:val="center"/>
      </w:pPr>
      <w:r>
        <w:t>Memorandum</w:t>
      </w:r>
    </w:p>
    <w:p w:rsidR="00366BAE" w:rsidRDefault="00366BAE" w:rsidP="00366BAE">
      <w:pPr>
        <w:tabs>
          <w:tab w:val="left" w:pos="3570"/>
        </w:tabs>
        <w:spacing w:line="259" w:lineRule="auto"/>
        <w:ind w:firstLine="0"/>
        <w:jc w:val="center"/>
      </w:pPr>
      <w:r>
        <w:t>Student Name</w:t>
      </w:r>
    </w:p>
    <w:p w:rsidR="00366BAE" w:rsidRDefault="00366BAE" w:rsidP="00366BAE">
      <w:pPr>
        <w:tabs>
          <w:tab w:val="left" w:pos="3570"/>
        </w:tabs>
        <w:spacing w:line="259" w:lineRule="auto"/>
        <w:ind w:firstLine="0"/>
        <w:jc w:val="center"/>
      </w:pPr>
      <w:r>
        <w:t>Allied University</w:t>
      </w:r>
    </w:p>
    <w:p w:rsidR="00366BAE" w:rsidRDefault="00366BAE" w:rsidP="00366BAE">
      <w:pPr>
        <w:tabs>
          <w:tab w:val="left" w:pos="3570"/>
        </w:tabs>
        <w:spacing w:line="259" w:lineRule="auto"/>
        <w:ind w:firstLine="0"/>
      </w:pPr>
      <w:r w:rsidRPr="00366BAE">
        <w:br w:type="page"/>
      </w:r>
      <w:r>
        <w:lastRenderedPageBreak/>
        <w:tab/>
      </w:r>
    </w:p>
    <w:p w:rsidR="000E1BF5" w:rsidRDefault="002C7583" w:rsidP="000E1BF5">
      <w:pPr>
        <w:jc w:val="center"/>
      </w:pPr>
      <w:r>
        <w:t xml:space="preserve"> </w:t>
      </w:r>
      <w:r w:rsidR="000E1BF5">
        <w:t>Fraud activities in Business</w:t>
      </w:r>
    </w:p>
    <w:p w:rsidR="00A37F21" w:rsidRDefault="000E4237">
      <w:r>
        <w:t xml:space="preserve">Fraud in the business environment is a common practice that is </w:t>
      </w:r>
      <w:r w:rsidR="00CD79D3">
        <w:t>rippling organizations. Fraudsters are devising new tactics in laundering money from corporate finances</w:t>
      </w:r>
      <w:sdt>
        <w:sdtPr>
          <w:id w:val="-567645217"/>
          <w:citation/>
        </w:sdtPr>
        <w:sdtContent>
          <w:r w:rsidR="000E1BF5">
            <w:fldChar w:fldCharType="begin"/>
          </w:r>
          <w:r w:rsidR="000E1BF5">
            <w:instrText xml:space="preserve"> CITATION Ass04 \l 1033 </w:instrText>
          </w:r>
          <w:r w:rsidR="000E1BF5">
            <w:fldChar w:fldCharType="separate"/>
          </w:r>
          <w:r w:rsidR="000E1BF5">
            <w:rPr>
              <w:noProof/>
            </w:rPr>
            <w:t xml:space="preserve"> (Association of Certiﬁed Fraud Examiners, 2004)</w:t>
          </w:r>
          <w:r w:rsidR="000E1BF5">
            <w:fldChar w:fldCharType="end"/>
          </w:r>
        </w:sdtContent>
      </w:sdt>
      <w:r w:rsidR="00CD79D3">
        <w:t>.</w:t>
      </w:r>
      <w:r w:rsidR="00DC7FC8">
        <w:t xml:space="preserve"> Organizations need to come up </w:t>
      </w:r>
      <w:r w:rsidR="003F53CC">
        <w:t>with strategies that are more defensive</w:t>
      </w:r>
      <w:r w:rsidR="00DC7FC8">
        <w:t xml:space="preserve"> in order to counter these fraud activities by becoming more accountable in recoding their financial statements and monitoring inventories. This is essential in protecting the revenue, reputation and </w:t>
      </w:r>
      <w:r w:rsidR="003F53CC">
        <w:t>long-term</w:t>
      </w:r>
      <w:r w:rsidR="00DC7FC8">
        <w:t xml:space="preserve"> health of a business. Corporate can ensure simple things in order to protect their business. The organization need to take time and realize potential loopholes that can encourage fraud risks</w:t>
      </w:r>
      <w:sdt>
        <w:sdtPr>
          <w:id w:val="1125116864"/>
          <w:citation/>
        </w:sdtPr>
        <w:sdtContent>
          <w:r w:rsidR="000E1BF5">
            <w:fldChar w:fldCharType="begin"/>
          </w:r>
          <w:r w:rsidR="000E1BF5">
            <w:instrText xml:space="preserve"> CITATION Ass04 \l 1033 </w:instrText>
          </w:r>
          <w:r w:rsidR="000E1BF5">
            <w:fldChar w:fldCharType="separate"/>
          </w:r>
          <w:r w:rsidR="000E1BF5">
            <w:rPr>
              <w:noProof/>
            </w:rPr>
            <w:t xml:space="preserve"> (Association of Certiﬁed Fraud Examiners, 2004)</w:t>
          </w:r>
          <w:r w:rsidR="000E1BF5">
            <w:fldChar w:fldCharType="end"/>
          </w:r>
        </w:sdtContent>
      </w:sdt>
      <w:r w:rsidR="00DC7FC8">
        <w:t>.</w:t>
      </w:r>
      <w:r w:rsidR="00A5581C">
        <w:t xml:space="preserve"> </w:t>
      </w:r>
      <w:r w:rsidR="00390284">
        <w:t>This is will help in assessing and reducing the level of risk that can take place and control where possible.</w:t>
      </w:r>
      <w:r w:rsidR="00762B7F">
        <w:t xml:space="preserve"> The organization can also apply some general principles regardless of the type of business the organization is into.</w:t>
      </w:r>
      <w:r w:rsidR="00B15722">
        <w:t xml:space="preserve"> </w:t>
      </w:r>
    </w:p>
    <w:p w:rsidR="00B15722" w:rsidRDefault="00B15722">
      <w:r>
        <w:t xml:space="preserve">The organization can implement controls that can try to keep individuals from committing fraudulent activities. </w:t>
      </w:r>
      <w:r w:rsidR="003F53CC">
        <w:t>These</w:t>
      </w:r>
      <w:r>
        <w:t xml:space="preserve"> will help in minimizing the risk of fraudulent being committed in the organization</w:t>
      </w:r>
      <w:sdt>
        <w:sdtPr>
          <w:id w:val="-1149125946"/>
          <w:citation/>
        </w:sdtPr>
        <w:sdtContent>
          <w:r w:rsidR="00FC051A">
            <w:fldChar w:fldCharType="begin"/>
          </w:r>
          <w:r w:rsidR="00FC051A">
            <w:instrText xml:space="preserve"> CITATION Les05 \l 1033 </w:instrText>
          </w:r>
          <w:r w:rsidR="00FC051A">
            <w:fldChar w:fldCharType="separate"/>
          </w:r>
          <w:r w:rsidR="00FC051A">
            <w:rPr>
              <w:noProof/>
            </w:rPr>
            <w:t xml:space="preserve"> (Glasbeek, 2005)</w:t>
          </w:r>
          <w:r w:rsidR="00FC051A">
            <w:fldChar w:fldCharType="end"/>
          </w:r>
        </w:sdtContent>
      </w:sdt>
      <w:r>
        <w:t xml:space="preserve">. The organization can consider outsourcing the work of fighting fraud </w:t>
      </w:r>
      <w:r w:rsidR="003F53CC">
        <w:t>to external auditors</w:t>
      </w:r>
      <w:r>
        <w:t xml:space="preserve"> who are more aware of the risk and can properly tackle the problem.</w:t>
      </w:r>
      <w:r w:rsidR="00C649D8">
        <w:t xml:space="preserve"> These strategies are helpful </w:t>
      </w:r>
      <w:r w:rsidR="003F53CC">
        <w:t>in</w:t>
      </w:r>
      <w:r w:rsidR="00C649D8">
        <w:t xml:space="preserve"> minimizing the loss associated with fraud activities that is continuously changing the business environment.</w:t>
      </w:r>
      <w:r w:rsidR="009161DA">
        <w:t xml:space="preserve"> </w:t>
      </w:r>
      <w:r w:rsidR="003F53CC">
        <w:t>In</w:t>
      </w:r>
      <w:r w:rsidR="009161DA">
        <w:t xml:space="preserve"> the organization and business generally, as long as there is opportunities for businesses to venture, fraudulent activities is likely to take place</w:t>
      </w:r>
      <w:sdt>
        <w:sdtPr>
          <w:id w:val="1909649299"/>
          <w:citation/>
        </w:sdtPr>
        <w:sdtContent>
          <w:r w:rsidR="00646F0E">
            <w:fldChar w:fldCharType="begin"/>
          </w:r>
          <w:r w:rsidR="00646F0E">
            <w:instrText xml:space="preserve"> CITATION Bow17 \l 1033 </w:instrText>
          </w:r>
          <w:r w:rsidR="00646F0E">
            <w:fldChar w:fldCharType="separate"/>
          </w:r>
          <w:r w:rsidR="00646F0E">
            <w:rPr>
              <w:noProof/>
            </w:rPr>
            <w:t xml:space="preserve"> (Sue, 20017)</w:t>
          </w:r>
          <w:r w:rsidR="00646F0E">
            <w:fldChar w:fldCharType="end"/>
          </w:r>
        </w:sdtContent>
      </w:sdt>
      <w:r w:rsidR="009161DA">
        <w:t>.</w:t>
      </w:r>
    </w:p>
    <w:p w:rsidR="00907619" w:rsidRDefault="00907619">
      <w:r>
        <w:lastRenderedPageBreak/>
        <w:t xml:space="preserve">The rapidly advancing </w:t>
      </w:r>
      <w:r w:rsidR="003F53CC">
        <w:t>technologies, which is interconnecting the world,</w:t>
      </w:r>
      <w:r w:rsidR="001F50E7">
        <w:t xml:space="preserve"> also provides opportunity for fraudsters to commit fraudulent activities</w:t>
      </w:r>
      <w:sdt>
        <w:sdtPr>
          <w:id w:val="-1293824678"/>
          <w:citation/>
        </w:sdtPr>
        <w:sdtContent>
          <w:r w:rsidR="00252C4E">
            <w:fldChar w:fldCharType="begin"/>
          </w:r>
          <w:r w:rsidR="00252C4E">
            <w:instrText xml:space="preserve"> CITATION Les05 \l 1033 </w:instrText>
          </w:r>
          <w:r w:rsidR="00252C4E">
            <w:fldChar w:fldCharType="separate"/>
          </w:r>
          <w:r w:rsidR="00252C4E">
            <w:rPr>
              <w:noProof/>
            </w:rPr>
            <w:t xml:space="preserve"> (Glasbeek, 2005)</w:t>
          </w:r>
          <w:r w:rsidR="00252C4E">
            <w:fldChar w:fldCharType="end"/>
          </w:r>
        </w:sdtContent>
      </w:sdt>
      <w:r w:rsidR="001F50E7">
        <w:t xml:space="preserve">. </w:t>
      </w:r>
      <w:r w:rsidR="003F53CC">
        <w:t>Technologies</w:t>
      </w:r>
      <w:r w:rsidR="001F50E7">
        <w:t xml:space="preserve"> have been the umbrella fraudsters use to disguise their identities and mechanisms in the business environment. </w:t>
      </w:r>
      <w:r w:rsidR="003F53CC">
        <w:t>This</w:t>
      </w:r>
      <w:r w:rsidR="001F50E7">
        <w:t xml:space="preserve"> is because technology also provides business an opportunity </w:t>
      </w:r>
      <w:r w:rsidR="00396E2A">
        <w:t>conduct their operations in the wink of an eye. In return, this also enables fraud to become more sophisticated and pervasive in the business environment making harder to detect.</w:t>
      </w:r>
      <w:r w:rsidR="00B341D0">
        <w:t xml:space="preserve"> The organization need to take the risk of fraud into consideration because the fraud </w:t>
      </w:r>
      <w:r w:rsidR="003F53CC">
        <w:t>affects</w:t>
      </w:r>
      <w:r w:rsidR="00B341D0">
        <w:t xml:space="preserve"> the business operations, </w:t>
      </w:r>
      <w:r w:rsidR="009535B4">
        <w:t>stakeholders</w:t>
      </w:r>
      <w:r w:rsidR="00B341D0">
        <w:t xml:space="preserve"> and the entire economies</w:t>
      </w:r>
      <w:sdt>
        <w:sdtPr>
          <w:id w:val="55287056"/>
          <w:citation/>
        </w:sdtPr>
        <w:sdtContent>
          <w:r w:rsidR="008A5E39">
            <w:fldChar w:fldCharType="begin"/>
          </w:r>
          <w:r w:rsidR="008A5E39">
            <w:instrText xml:space="preserve"> CITATION Ass04 \l 1033 </w:instrText>
          </w:r>
          <w:r w:rsidR="008A5E39">
            <w:fldChar w:fldCharType="separate"/>
          </w:r>
          <w:r w:rsidR="008A5E39">
            <w:rPr>
              <w:noProof/>
            </w:rPr>
            <w:t xml:space="preserve"> (Association of Certiﬁed Fraud Examiners, 2004)</w:t>
          </w:r>
          <w:r w:rsidR="008A5E39">
            <w:fldChar w:fldCharType="end"/>
          </w:r>
        </w:sdtContent>
      </w:sdt>
      <w:r w:rsidR="00B341D0">
        <w:t>.</w:t>
      </w:r>
    </w:p>
    <w:p w:rsidR="00224ADC" w:rsidRDefault="00224ADC">
      <w:r>
        <w:t xml:space="preserve">Worldwide, the large majority of fraud activities </w:t>
      </w:r>
      <w:proofErr w:type="gramStart"/>
      <w:r>
        <w:t>is based</w:t>
      </w:r>
      <w:proofErr w:type="gramEnd"/>
      <w:r>
        <w:t xml:space="preserve"> on asset </w:t>
      </w:r>
      <w:r w:rsidR="009535B4">
        <w:t>misappropriation, which</w:t>
      </w:r>
      <w:r>
        <w:t xml:space="preserve"> has compromised nearly </w:t>
      </w:r>
      <w:r w:rsidR="00A058BF">
        <w:t>85% of the total asset</w:t>
      </w:r>
      <w:r w:rsidR="009633D2">
        <w:t xml:space="preserve"> of the </w:t>
      </w:r>
      <w:r w:rsidR="009535B4">
        <w:t>company</w:t>
      </w:r>
      <w:sdt>
        <w:sdtPr>
          <w:id w:val="-1102651076"/>
          <w:citation/>
        </w:sdtPr>
        <w:sdtContent>
          <w:r w:rsidR="00F76065">
            <w:fldChar w:fldCharType="begin"/>
          </w:r>
          <w:r w:rsidR="00F76065">
            <w:instrText xml:space="preserve"> CITATION Ass04 \l 1033 </w:instrText>
          </w:r>
          <w:r w:rsidR="00F76065">
            <w:fldChar w:fldCharType="separate"/>
          </w:r>
          <w:r w:rsidR="00F76065">
            <w:rPr>
              <w:noProof/>
            </w:rPr>
            <w:t xml:space="preserve"> (Association of Certiﬁed Fraud Examiners, 2004)</w:t>
          </w:r>
          <w:r w:rsidR="00F76065">
            <w:fldChar w:fldCharType="end"/>
          </w:r>
        </w:sdtContent>
      </w:sdt>
      <w:r w:rsidR="009535B4">
        <w:t>. However, 9% represented the financial statement fraud, which is quite rare due to the organization’s thoroughness.</w:t>
      </w:r>
      <w:r w:rsidR="00696B94">
        <w:t xml:space="preserve"> This is because of the numerous reported </w:t>
      </w:r>
      <w:r w:rsidR="003F53CC">
        <w:t>cases,</w:t>
      </w:r>
      <w:r w:rsidR="00696B94">
        <w:t xml:space="preserve"> which has cost millions of dollars to many organizations. According to the federal government,</w:t>
      </w:r>
      <w:r w:rsidR="002C59E7">
        <w:t xml:space="preserve"> two or three types of financial and asset misappropriation fraud have taken place 30% of the time</w:t>
      </w:r>
      <w:sdt>
        <w:sdtPr>
          <w:id w:val="187024715"/>
          <w:citation/>
        </w:sdtPr>
        <w:sdtContent>
          <w:r w:rsidR="00A33E73">
            <w:fldChar w:fldCharType="begin"/>
          </w:r>
          <w:r w:rsidR="00A33E73">
            <w:instrText xml:space="preserve"> CITATION Ass04 \l 1033 </w:instrText>
          </w:r>
          <w:r w:rsidR="00A33E73">
            <w:fldChar w:fldCharType="separate"/>
          </w:r>
          <w:r w:rsidR="00A33E73">
            <w:rPr>
              <w:noProof/>
            </w:rPr>
            <w:t xml:space="preserve"> (Association of Certiﬁed Fraud Examiners, 2004)</w:t>
          </w:r>
          <w:r w:rsidR="00A33E73">
            <w:fldChar w:fldCharType="end"/>
          </w:r>
        </w:sdtContent>
      </w:sdt>
      <w:r w:rsidR="009F1F37">
        <w:t xml:space="preserve">. </w:t>
      </w:r>
    </w:p>
    <w:p w:rsidR="003F53CC" w:rsidRDefault="009F1F37">
      <w:r>
        <w:t>Generally, there is no one size fit approach in fighting fraud as these depends on the company’s strategic objectives and goals.</w:t>
      </w:r>
      <w:r w:rsidR="000434C7">
        <w:t xml:space="preserve"> </w:t>
      </w:r>
      <w:r w:rsidR="003F53CC">
        <w:t>However</w:t>
      </w:r>
      <w:r w:rsidR="000434C7">
        <w:t>, it is crucial to develop a customized approach in combating fraud activities.</w:t>
      </w:r>
      <w:r w:rsidR="00AA7755">
        <w:t xml:space="preserve"> </w:t>
      </w:r>
      <w:r w:rsidR="003F53CC">
        <w:t>According</w:t>
      </w:r>
      <w:r w:rsidR="00AA7755">
        <w:t xml:space="preserve"> to ACFE survey,</w:t>
      </w:r>
      <w:r w:rsidR="00B011E1">
        <w:t xml:space="preserve"> companies who experienced have failed to recover their losses as a result and 14% of the companies was made a whole</w:t>
      </w:r>
      <w:sdt>
        <w:sdtPr>
          <w:id w:val="-423502255"/>
          <w:citation/>
        </w:sdtPr>
        <w:sdtContent>
          <w:r w:rsidR="00DC3016">
            <w:fldChar w:fldCharType="begin"/>
          </w:r>
          <w:r w:rsidR="00DC3016">
            <w:instrText xml:space="preserve"> CITATION Ass04 \l 1033 </w:instrText>
          </w:r>
          <w:r w:rsidR="00DC3016">
            <w:fldChar w:fldCharType="separate"/>
          </w:r>
          <w:r w:rsidR="00DC3016">
            <w:rPr>
              <w:noProof/>
            </w:rPr>
            <w:t xml:space="preserve"> (Association of Certiﬁed Fraud Examiners, 2004)</w:t>
          </w:r>
          <w:r w:rsidR="00DC3016">
            <w:fldChar w:fldCharType="end"/>
          </w:r>
        </w:sdtContent>
      </w:sdt>
      <w:r w:rsidR="00B011E1">
        <w:t>.</w:t>
      </w:r>
      <w:r w:rsidR="00DB0436">
        <w:t xml:space="preserve"> </w:t>
      </w:r>
      <w:r w:rsidR="003F53CC">
        <w:t>This</w:t>
      </w:r>
      <w:r w:rsidR="00DB0436">
        <w:t xml:space="preserve"> shows the difficulty process that the organization have to undergo in order to recover their losses.</w:t>
      </w:r>
      <w:r w:rsidR="000D2803">
        <w:t xml:space="preserve"> </w:t>
      </w:r>
    </w:p>
    <w:p w:rsidR="009F1F37" w:rsidRDefault="000D2803">
      <w:r>
        <w:lastRenderedPageBreak/>
        <w:t>Fraud activities are considered a high risk as the organization can collapse if the fraud activity have been taking place for a long time.</w:t>
      </w:r>
      <w:r w:rsidR="00C9389C">
        <w:t xml:space="preserve"> </w:t>
      </w:r>
      <w:r w:rsidR="003F53CC">
        <w:t>In</w:t>
      </w:r>
      <w:r w:rsidR="00C9389C">
        <w:t xml:space="preserve"> addition, it is also difficult to identify any specific fraudster on a personal level.</w:t>
      </w:r>
      <w:r w:rsidR="00513F54">
        <w:t xml:space="preserve"> </w:t>
      </w:r>
      <w:r w:rsidR="003F53CC">
        <w:t>A</w:t>
      </w:r>
      <w:r w:rsidR="00513F54">
        <w:t xml:space="preserve"> company need to come up with anti-fraud measures that takes the organization’s focus off its culture through chasing individual or </w:t>
      </w:r>
      <w:r w:rsidR="003F53CC">
        <w:t>outsourcing</w:t>
      </w:r>
      <w:r w:rsidR="00513F54">
        <w:t xml:space="preserve"> the risk to </w:t>
      </w:r>
      <w:r w:rsidR="001622FC">
        <w:t>third parties</w:t>
      </w:r>
      <w:sdt>
        <w:sdtPr>
          <w:id w:val="-1211108825"/>
          <w:citation/>
        </w:sdtPr>
        <w:sdtContent>
          <w:r w:rsidR="00DC3016">
            <w:fldChar w:fldCharType="begin"/>
          </w:r>
          <w:r w:rsidR="00DC3016">
            <w:instrText xml:space="preserve"> CITATION Bow17 \l 1033 </w:instrText>
          </w:r>
          <w:r w:rsidR="00DC3016">
            <w:fldChar w:fldCharType="separate"/>
          </w:r>
          <w:r w:rsidR="00DC3016">
            <w:rPr>
              <w:noProof/>
            </w:rPr>
            <w:t xml:space="preserve"> (Sue, 20017)</w:t>
          </w:r>
          <w:r w:rsidR="00DC3016">
            <w:fldChar w:fldCharType="end"/>
          </w:r>
        </w:sdtContent>
      </w:sdt>
      <w:r w:rsidR="00C54E80">
        <w:t>. This will hinder the environment for fraudsters to take root within the organization and thrive</w:t>
      </w:r>
      <w:r w:rsidR="00ED0C95">
        <w:t>. Therefore, the type of environment the organization incorporates to individuals will justify whether the organization offers a fertile ground for fraud risk to thrive.</w:t>
      </w:r>
    </w:p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p w:rsidR="00827668" w:rsidRDefault="00827668"/>
    <w:sdt>
      <w:sdtPr>
        <w:id w:val="60130540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bookmarkStart w:id="0" w:name="_GoBack" w:displacedByCustomXml="prev"/>
        <w:p w:rsidR="00366BAE" w:rsidRPr="00A2471D" w:rsidRDefault="00366BAE" w:rsidP="00A2471D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A2471D">
            <w:rPr>
              <w:rFonts w:ascii="Times New Roman" w:hAnsi="Times New Roman" w:cs="Times New Roman"/>
              <w:color w:val="auto"/>
              <w:sz w:val="24"/>
              <w:szCs w:val="24"/>
            </w:rPr>
            <w:t>References</w:t>
          </w:r>
        </w:p>
        <w:bookmarkEnd w:id="0" w:displacedByCustomXml="next"/>
        <w:sdt>
          <w:sdtPr>
            <w:id w:val="-573587230"/>
            <w:bibliography/>
          </w:sdtPr>
          <w:sdtContent>
            <w:p w:rsidR="00366BAE" w:rsidRDefault="00366BAE" w:rsidP="00366BAE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Association of Certiﬁed Fraud Examiners. (2004). Report to the nations on occupational fraud and abuse. </w:t>
              </w:r>
              <w:r>
                <w:rPr>
                  <w:i/>
                  <w:iCs/>
                  <w:noProof/>
                </w:rPr>
                <w:t>2014 GLOBAL FRAUD STUDY JOURNAL</w:t>
              </w:r>
              <w:r>
                <w:rPr>
                  <w:noProof/>
                </w:rPr>
                <w:t>.</w:t>
              </w:r>
            </w:p>
            <w:p w:rsidR="00366BAE" w:rsidRDefault="00366BAE" w:rsidP="00366B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Glasbeek, L. (2005). </w:t>
              </w:r>
              <w:r>
                <w:rPr>
                  <w:i/>
                  <w:iCs/>
                  <w:noProof/>
                </w:rPr>
                <w:t>Association of local government auditors</w:t>
              </w:r>
              <w:r>
                <w:rPr>
                  <w:noProof/>
                </w:rPr>
                <w:t>. Retrieved january 2016, from The Fraud Triangle and What Auditors Can Do About It: https://algaonline.org/index.aspx?NID=417</w:t>
              </w:r>
            </w:p>
            <w:p w:rsidR="00366BAE" w:rsidRDefault="00366BAE" w:rsidP="00366BA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Sue, B. (20017). Guidelines for preventing fraud and abuse. 15-18.</w:t>
              </w:r>
            </w:p>
            <w:p w:rsidR="00366BAE" w:rsidRDefault="00366BAE" w:rsidP="00366B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66BAE" w:rsidRDefault="00366BAE"/>
    <w:sectPr w:rsidR="00366BAE" w:rsidSect="00366BA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8AB" w:rsidRDefault="008518AB" w:rsidP="00366BAE">
      <w:pPr>
        <w:spacing w:after="0" w:line="240" w:lineRule="auto"/>
      </w:pPr>
      <w:r>
        <w:separator/>
      </w:r>
    </w:p>
  </w:endnote>
  <w:endnote w:type="continuationSeparator" w:id="0">
    <w:p w:rsidR="008518AB" w:rsidRDefault="008518AB" w:rsidP="0036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8AB" w:rsidRDefault="008518AB" w:rsidP="00366BAE">
      <w:pPr>
        <w:spacing w:after="0" w:line="240" w:lineRule="auto"/>
      </w:pPr>
      <w:r>
        <w:separator/>
      </w:r>
    </w:p>
  </w:footnote>
  <w:footnote w:type="continuationSeparator" w:id="0">
    <w:p w:rsidR="008518AB" w:rsidRDefault="008518AB" w:rsidP="00366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2680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C6279" w:rsidRDefault="00CC6279" w:rsidP="00CC6279">
        <w:pPr>
          <w:pStyle w:val="Header"/>
          <w:ind w:firstLine="0"/>
        </w:pPr>
        <w:r>
          <w:t>MEMORANDUM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471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C6279" w:rsidRDefault="00CC62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89137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66BAE" w:rsidRDefault="00366BAE" w:rsidP="00366BAE">
        <w:pPr>
          <w:pStyle w:val="Header"/>
        </w:pPr>
        <w:r>
          <w:t>Running head: MEMORANDUM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6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6BAE" w:rsidRDefault="00366B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A1"/>
    <w:rsid w:val="000434C7"/>
    <w:rsid w:val="000436C9"/>
    <w:rsid w:val="00081691"/>
    <w:rsid w:val="000D2803"/>
    <w:rsid w:val="000E1BF5"/>
    <w:rsid w:val="000E4237"/>
    <w:rsid w:val="001622FC"/>
    <w:rsid w:val="001F50E7"/>
    <w:rsid w:val="00224ADC"/>
    <w:rsid w:val="00252C4E"/>
    <w:rsid w:val="002C59E7"/>
    <w:rsid w:val="002C7583"/>
    <w:rsid w:val="00343B69"/>
    <w:rsid w:val="00366BAE"/>
    <w:rsid w:val="00390284"/>
    <w:rsid w:val="00396E2A"/>
    <w:rsid w:val="003F53CC"/>
    <w:rsid w:val="004378A1"/>
    <w:rsid w:val="00513F54"/>
    <w:rsid w:val="00523F7A"/>
    <w:rsid w:val="005A19A5"/>
    <w:rsid w:val="00646F0E"/>
    <w:rsid w:val="00684747"/>
    <w:rsid w:val="00696B94"/>
    <w:rsid w:val="00762B7F"/>
    <w:rsid w:val="00827668"/>
    <w:rsid w:val="00837F89"/>
    <w:rsid w:val="008518AB"/>
    <w:rsid w:val="008A5E39"/>
    <w:rsid w:val="00907619"/>
    <w:rsid w:val="009161DA"/>
    <w:rsid w:val="009535B4"/>
    <w:rsid w:val="009633D2"/>
    <w:rsid w:val="009F1F37"/>
    <w:rsid w:val="00A058BF"/>
    <w:rsid w:val="00A2471D"/>
    <w:rsid w:val="00A33E73"/>
    <w:rsid w:val="00A37F21"/>
    <w:rsid w:val="00A5581C"/>
    <w:rsid w:val="00AA7755"/>
    <w:rsid w:val="00B011E1"/>
    <w:rsid w:val="00B02072"/>
    <w:rsid w:val="00B15722"/>
    <w:rsid w:val="00B341D0"/>
    <w:rsid w:val="00C54E80"/>
    <w:rsid w:val="00C649D8"/>
    <w:rsid w:val="00C9389C"/>
    <w:rsid w:val="00CC6279"/>
    <w:rsid w:val="00CD79D3"/>
    <w:rsid w:val="00DB0436"/>
    <w:rsid w:val="00DC3016"/>
    <w:rsid w:val="00DC7FC8"/>
    <w:rsid w:val="00ED0C95"/>
    <w:rsid w:val="00EE71B3"/>
    <w:rsid w:val="00F76065"/>
    <w:rsid w:val="00FC051A"/>
    <w:rsid w:val="00FC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BBCEE-8551-4221-B2E6-5D48EF03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668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BAE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84747"/>
    <w:pPr>
      <w:spacing w:after="0" w:line="48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66BAE"/>
  </w:style>
  <w:style w:type="paragraph" w:styleId="Header">
    <w:name w:val="header"/>
    <w:basedOn w:val="Normal"/>
    <w:link w:val="HeaderChar"/>
    <w:uiPriority w:val="99"/>
    <w:unhideWhenUsed/>
    <w:rsid w:val="00366B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6BA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66B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6BA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Bow17</b:Tag>
    <b:SourceType>JournalArticle</b:SourceType>
    <b:Guid>{8BBEFC59-E684-49BE-8C85-7054CEEB16F2}</b:Guid>
    <b:Author>
      <b:Author>
        <b:NameList>
          <b:Person>
            <b:Last>Sue</b:Last>
            <b:First>Bowman</b:First>
          </b:Person>
        </b:NameList>
      </b:Author>
    </b:Author>
    <b:Title>Guidelines for preventing fraud and abuse</b:Title>
    <b:Year>20017</b:Year>
    <b:Pages>15-18</b:Pages>
    <b:RefOrder>3</b:RefOrder>
  </b:Source>
  <b:Source>
    <b:Tag>Les05</b:Tag>
    <b:SourceType>InternetSite</b:SourceType>
    <b:Guid>{1C35C24F-A970-4B77-B1BB-F6685D8AFF27}</b:Guid>
    <b:Author>
      <b:Author>
        <b:NameList>
          <b:Person>
            <b:Last>Glasbeek</b:Last>
            <b:First>Leslie</b:First>
          </b:Person>
        </b:NameList>
      </b:Author>
    </b:Author>
    <b:Title>Association of local government auditors</b:Title>
    <b:InternetSiteTitle>The Fraud Triangle and What Auditors Can Do About It</b:InternetSiteTitle>
    <b:Year>2005</b:Year>
    <b:YearAccessed>2016</b:YearAccessed>
    <b:MonthAccessed>january</b:MonthAccessed>
    <b:URL>https://algaonline.org/index.aspx?NID=417</b:URL>
    <b:RefOrder>2</b:RefOrder>
  </b:Source>
  <b:Source>
    <b:Tag>Ass04</b:Tag>
    <b:SourceType>JournalArticle</b:SourceType>
    <b:Guid>{9D7BB8A4-0A47-42E9-AC41-5D25E727F8E4}</b:Guid>
    <b:Author>
      <b:Author>
        <b:Corporate>Association of Certiﬁed Fraud Examiners</b:Corporate>
      </b:Author>
    </b:Author>
    <b:Title>Report to the nations on occupational fraud and abuse</b:Title>
    <b:JournalName>2014 GLOBAL FRAUD STUDY JOURNAL</b:JournalName>
    <b:Year>2004</b:Year>
    <b:RefOrder>1</b:RefOrder>
  </b:Source>
</b:Sources>
</file>

<file path=customXml/itemProps1.xml><?xml version="1.0" encoding="utf-8"?>
<ds:datastoreItem xmlns:ds="http://schemas.openxmlformats.org/officeDocument/2006/customXml" ds:itemID="{28777442-6BD8-43AD-AF90-5705B83D7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745</Words>
  <Characters>4250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Obange</dc:creator>
  <cp:keywords/>
  <dc:description/>
  <cp:lastModifiedBy>Neil Obange</cp:lastModifiedBy>
  <cp:revision>48</cp:revision>
  <dcterms:created xsi:type="dcterms:W3CDTF">2016-05-02T04:53:00Z</dcterms:created>
  <dcterms:modified xsi:type="dcterms:W3CDTF">2016-05-02T05:37:00Z</dcterms:modified>
</cp:coreProperties>
</file>