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E5821" w14:textId="4515A7D5" w:rsidR="00FC41B8" w:rsidRPr="002F18DE" w:rsidRDefault="00FC41B8" w:rsidP="00FC41B8">
      <w:pPr>
        <w:spacing w:line="276" w:lineRule="auto"/>
        <w:rPr>
          <w:rFonts w:ascii="Times New Roman" w:hAnsi="Times New Roman" w:cs="Times New Roman"/>
          <w:b/>
          <w:bCs/>
          <w:sz w:val="22"/>
          <w:szCs w:val="22"/>
        </w:rPr>
      </w:pPr>
      <w:r w:rsidRPr="002F18DE">
        <w:rPr>
          <w:rFonts w:ascii="Times New Roman" w:hAnsi="Times New Roman" w:cs="Times New Roman"/>
          <w:b/>
          <w:bCs/>
          <w:sz w:val="22"/>
          <w:szCs w:val="22"/>
        </w:rPr>
        <w:t xml:space="preserve">Legend for Aquatic Animal Antimicrobial Resistance Database </w:t>
      </w:r>
    </w:p>
    <w:p w14:paraId="58F218BC" w14:textId="44E0A831" w:rsidR="00FC41B8" w:rsidRDefault="00FC41B8" w:rsidP="00FC41B8">
      <w:pPr>
        <w:spacing w:line="276" w:lineRule="auto"/>
        <w:rPr>
          <w:rFonts w:ascii="Times New Roman" w:hAnsi="Times New Roman" w:cs="Times New Roman"/>
          <w:sz w:val="22"/>
          <w:szCs w:val="22"/>
        </w:rPr>
      </w:pPr>
    </w:p>
    <w:p w14:paraId="79A127A7" w14:textId="018972BB" w:rsidR="00856EF6" w:rsidRDefault="00856EF6" w:rsidP="00FC41B8">
      <w:pPr>
        <w:spacing w:line="276" w:lineRule="auto"/>
        <w:rPr>
          <w:rFonts w:ascii="Times New Roman" w:hAnsi="Times New Roman" w:cs="Times New Roman"/>
          <w:sz w:val="22"/>
          <w:szCs w:val="22"/>
        </w:rPr>
      </w:pPr>
    </w:p>
    <w:p w14:paraId="11031C85" w14:textId="1D64333F" w:rsidR="002F18DE" w:rsidRDefault="002F18DE" w:rsidP="00FC41B8">
      <w:pPr>
        <w:spacing w:line="276" w:lineRule="auto"/>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80EC178" wp14:editId="3CD5FFA7">
            <wp:extent cx="5943600" cy="1821815"/>
            <wp:effectExtent l="0" t="0" r="0" b="0"/>
            <wp:docPr id="2" name="Picture 2"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 Exce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821815"/>
                    </a:xfrm>
                    <a:prstGeom prst="rect">
                      <a:avLst/>
                    </a:prstGeom>
                  </pic:spPr>
                </pic:pic>
              </a:graphicData>
            </a:graphic>
          </wp:inline>
        </w:drawing>
      </w:r>
    </w:p>
    <w:p w14:paraId="67F2457E" w14:textId="5460D65A" w:rsidR="00856EF6" w:rsidRDefault="00856EF6" w:rsidP="00FC41B8">
      <w:pPr>
        <w:spacing w:line="276" w:lineRule="auto"/>
        <w:rPr>
          <w:rFonts w:ascii="Times New Roman" w:hAnsi="Times New Roman" w:cs="Times New Roman"/>
          <w:sz w:val="22"/>
          <w:szCs w:val="22"/>
        </w:rPr>
      </w:pPr>
    </w:p>
    <w:p w14:paraId="220C23E6" w14:textId="77777777" w:rsidR="00856EF6" w:rsidRDefault="00856EF6" w:rsidP="00FC41B8">
      <w:pPr>
        <w:spacing w:line="276" w:lineRule="auto"/>
        <w:rPr>
          <w:rFonts w:ascii="Times New Roman" w:hAnsi="Times New Roman" w:cs="Times New Roman"/>
          <w:sz w:val="22"/>
          <w:szCs w:val="22"/>
        </w:rPr>
      </w:pPr>
    </w:p>
    <w:p w14:paraId="6630050C" w14:textId="2F1E674F" w:rsidR="00FC41B8" w:rsidRPr="00376690" w:rsidRDefault="003D1FB9" w:rsidP="00FC41B8">
      <w:pPr>
        <w:spacing w:line="276" w:lineRule="auto"/>
        <w:rPr>
          <w:rFonts w:ascii="Times New Roman" w:hAnsi="Times New Roman" w:cs="Times New Roman"/>
          <w:sz w:val="22"/>
          <w:szCs w:val="22"/>
        </w:rPr>
      </w:pPr>
      <w:r>
        <w:rPr>
          <w:rFonts w:ascii="Times New Roman" w:hAnsi="Times New Roman" w:cs="Times New Roman"/>
          <w:sz w:val="22"/>
          <w:szCs w:val="22"/>
        </w:rPr>
        <w:t>The following fields</w:t>
      </w:r>
      <w:r w:rsidR="00403479">
        <w:rPr>
          <w:rFonts w:ascii="Times New Roman" w:hAnsi="Times New Roman" w:cs="Times New Roman"/>
          <w:sz w:val="22"/>
          <w:szCs w:val="22"/>
        </w:rPr>
        <w:t xml:space="preserve">, adapted from </w:t>
      </w:r>
      <w:r w:rsidR="00403479" w:rsidRPr="00403479">
        <w:rPr>
          <w:rFonts w:ascii="Times New Roman" w:hAnsi="Times New Roman" w:cs="Times New Roman"/>
          <w:i/>
          <w:iCs/>
          <w:sz w:val="22"/>
          <w:szCs w:val="22"/>
        </w:rPr>
        <w:t>Resistancebank</w:t>
      </w:r>
      <w:r w:rsidR="00403479">
        <w:rPr>
          <w:rFonts w:ascii="Times New Roman" w:hAnsi="Times New Roman" w:cs="Times New Roman"/>
          <w:sz w:val="22"/>
          <w:szCs w:val="22"/>
        </w:rPr>
        <w:t xml:space="preserve"> </w:t>
      </w:r>
      <w:r w:rsidR="00856EF6">
        <w:rPr>
          <w:rFonts w:ascii="Times New Roman" w:hAnsi="Times New Roman" w:cs="Times New Roman"/>
          <w:sz w:val="22"/>
          <w:szCs w:val="22"/>
        </w:rPr>
        <w:t>(</w:t>
      </w:r>
      <w:r w:rsidR="00856EF6" w:rsidRPr="00856EF6">
        <w:rPr>
          <w:rFonts w:ascii="Times New Roman" w:hAnsi="Times New Roman" w:cs="Times New Roman"/>
          <w:sz w:val="22"/>
          <w:szCs w:val="22"/>
        </w:rPr>
        <w:t>https://resistancebank.org</w:t>
      </w:r>
      <w:r w:rsidR="00856EF6">
        <w:rPr>
          <w:rFonts w:ascii="Times New Roman" w:hAnsi="Times New Roman" w:cs="Times New Roman"/>
          <w:sz w:val="22"/>
          <w:szCs w:val="22"/>
        </w:rPr>
        <w:t>)</w:t>
      </w:r>
      <w:r w:rsidR="00403479">
        <w:rPr>
          <w:rFonts w:ascii="Times New Roman" w:hAnsi="Times New Roman" w:cs="Times New Roman"/>
          <w:sz w:val="22"/>
          <w:szCs w:val="22"/>
        </w:rPr>
        <w:t>,</w:t>
      </w:r>
      <w:r>
        <w:rPr>
          <w:rFonts w:ascii="Times New Roman" w:hAnsi="Times New Roman" w:cs="Times New Roman"/>
          <w:sz w:val="22"/>
          <w:szCs w:val="22"/>
        </w:rPr>
        <w:t xml:space="preserve"> were used to populate the aquatic animal antimicrobial resistance database. </w:t>
      </w:r>
      <w:r w:rsidR="00FC41B8" w:rsidRPr="00376690">
        <w:rPr>
          <w:rFonts w:ascii="Times New Roman" w:hAnsi="Times New Roman" w:cs="Times New Roman"/>
          <w:sz w:val="22"/>
          <w:szCs w:val="22"/>
        </w:rPr>
        <w:t xml:space="preserve">Multiple lines in </w:t>
      </w:r>
      <w:r w:rsidR="00500501">
        <w:rPr>
          <w:rFonts w:ascii="Times New Roman" w:hAnsi="Times New Roman" w:cs="Times New Roman"/>
          <w:sz w:val="22"/>
          <w:szCs w:val="22"/>
        </w:rPr>
        <w:t xml:space="preserve">the database </w:t>
      </w:r>
      <w:r w:rsidR="00FC41B8" w:rsidRPr="00376690">
        <w:rPr>
          <w:rFonts w:ascii="Times New Roman" w:hAnsi="Times New Roman" w:cs="Times New Roman"/>
          <w:sz w:val="22"/>
          <w:szCs w:val="22"/>
        </w:rPr>
        <w:t>can correspond to the same publication: different combinations of the studied animals, sample types, coordinates</w:t>
      </w:r>
      <w:r w:rsidR="00500501">
        <w:rPr>
          <w:rFonts w:ascii="Times New Roman" w:hAnsi="Times New Roman" w:cs="Times New Roman"/>
          <w:sz w:val="22"/>
          <w:szCs w:val="22"/>
        </w:rPr>
        <w:t>, start and end dates</w:t>
      </w:r>
      <w:r w:rsidR="00FC41B8" w:rsidRPr="00376690">
        <w:rPr>
          <w:rFonts w:ascii="Times New Roman" w:hAnsi="Times New Roman" w:cs="Times New Roman"/>
          <w:sz w:val="22"/>
          <w:szCs w:val="22"/>
        </w:rPr>
        <w:t xml:space="preserve"> and antibiotics studied. </w:t>
      </w:r>
      <w:r w:rsidR="00424CF8">
        <w:rPr>
          <w:rFonts w:ascii="Times New Roman" w:hAnsi="Times New Roman" w:cs="Times New Roman"/>
          <w:sz w:val="22"/>
          <w:szCs w:val="22"/>
        </w:rPr>
        <w:t>W</w:t>
      </w:r>
      <w:r w:rsidR="00424CF8" w:rsidRPr="00424CF8">
        <w:rPr>
          <w:rFonts w:ascii="Times New Roman" w:hAnsi="Times New Roman" w:cs="Times New Roman"/>
          <w:sz w:val="22"/>
          <w:szCs w:val="22"/>
        </w:rPr>
        <w:t xml:space="preserve">here a </w:t>
      </w:r>
      <w:r w:rsidR="00424CF8">
        <w:rPr>
          <w:rFonts w:ascii="Times New Roman" w:hAnsi="Times New Roman" w:cs="Times New Roman"/>
          <w:sz w:val="22"/>
          <w:szCs w:val="22"/>
        </w:rPr>
        <w:t>publication</w:t>
      </w:r>
      <w:r w:rsidR="00424CF8" w:rsidRPr="00424CF8">
        <w:rPr>
          <w:rFonts w:ascii="Times New Roman" w:hAnsi="Times New Roman" w:cs="Times New Roman"/>
          <w:sz w:val="22"/>
          <w:szCs w:val="22"/>
        </w:rPr>
        <w:t xml:space="preserve"> contains multiple sources of data (e.g. from both ornamental fish and food fish; or from waters and aquatic animals) and that data is disaggregated and attributable to each source, only the eligible data</w:t>
      </w:r>
      <w:r w:rsidR="00424CF8">
        <w:rPr>
          <w:rFonts w:ascii="Times New Roman" w:hAnsi="Times New Roman" w:cs="Times New Roman"/>
          <w:sz w:val="22"/>
          <w:szCs w:val="22"/>
        </w:rPr>
        <w:t xml:space="preserve"> within the parameters of the study inclusion/exclusion criteria</w:t>
      </w:r>
      <w:r w:rsidR="00424CF8" w:rsidRPr="00424CF8">
        <w:rPr>
          <w:rFonts w:ascii="Times New Roman" w:hAnsi="Times New Roman" w:cs="Times New Roman"/>
          <w:sz w:val="22"/>
          <w:szCs w:val="22"/>
        </w:rPr>
        <w:t xml:space="preserve"> </w:t>
      </w:r>
      <w:r w:rsidR="00424CF8">
        <w:rPr>
          <w:rFonts w:ascii="Times New Roman" w:hAnsi="Times New Roman" w:cs="Times New Roman"/>
          <w:sz w:val="22"/>
          <w:szCs w:val="22"/>
        </w:rPr>
        <w:t>w</w:t>
      </w:r>
      <w:r w:rsidR="009367C8">
        <w:rPr>
          <w:rFonts w:ascii="Times New Roman" w:hAnsi="Times New Roman" w:cs="Times New Roman"/>
          <w:sz w:val="22"/>
          <w:szCs w:val="22"/>
        </w:rPr>
        <w:t>ere</w:t>
      </w:r>
      <w:r w:rsidR="00424CF8">
        <w:rPr>
          <w:rFonts w:ascii="Times New Roman" w:hAnsi="Times New Roman" w:cs="Times New Roman"/>
          <w:sz w:val="22"/>
          <w:szCs w:val="22"/>
        </w:rPr>
        <w:t xml:space="preserve"> </w:t>
      </w:r>
      <w:r w:rsidR="00424CF8" w:rsidRPr="00424CF8">
        <w:rPr>
          <w:rFonts w:ascii="Times New Roman" w:hAnsi="Times New Roman" w:cs="Times New Roman"/>
          <w:sz w:val="22"/>
          <w:szCs w:val="22"/>
        </w:rPr>
        <w:t xml:space="preserve">extracted. </w:t>
      </w:r>
      <w:r w:rsidR="00FC41B8" w:rsidRPr="00376690">
        <w:rPr>
          <w:rFonts w:ascii="Times New Roman" w:hAnsi="Times New Roman" w:cs="Times New Roman"/>
          <w:sz w:val="22"/>
          <w:szCs w:val="22"/>
        </w:rPr>
        <w:t>When the information corresponding to a field was not available</w:t>
      </w:r>
      <w:r w:rsidR="009367C8">
        <w:rPr>
          <w:rFonts w:ascii="Times New Roman" w:hAnsi="Times New Roman" w:cs="Times New Roman"/>
          <w:sz w:val="22"/>
          <w:szCs w:val="22"/>
        </w:rPr>
        <w:t>,</w:t>
      </w:r>
      <w:r w:rsidR="00FC41B8" w:rsidRPr="00376690">
        <w:rPr>
          <w:rFonts w:ascii="Times New Roman" w:hAnsi="Times New Roman" w:cs="Times New Roman"/>
          <w:sz w:val="22"/>
          <w:szCs w:val="22"/>
        </w:rPr>
        <w:t xml:space="preserve"> NA is used. In these cases, a request to the corresponding author was sent by e-mail and when appropriate a comment was added in the remark field based on the author’s response. </w:t>
      </w:r>
    </w:p>
    <w:p w14:paraId="7125F2A4" w14:textId="77777777" w:rsidR="00CF43BB" w:rsidRPr="003D1FB9" w:rsidRDefault="00CF43BB" w:rsidP="00FC41B8">
      <w:pPr>
        <w:spacing w:line="276" w:lineRule="auto"/>
        <w:rPr>
          <w:rFonts w:ascii="Times New Roman" w:hAnsi="Times New Roman" w:cs="Times New Roman"/>
          <w:b/>
          <w:bCs/>
          <w:sz w:val="22"/>
          <w:szCs w:val="22"/>
        </w:rPr>
      </w:pPr>
    </w:p>
    <w:p w14:paraId="0B469977" w14:textId="198816C6"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b/>
          <w:bCs/>
          <w:sz w:val="22"/>
          <w:szCs w:val="22"/>
        </w:rPr>
        <w:t xml:space="preserve">DOI: </w:t>
      </w:r>
      <w:r w:rsidRPr="00376690">
        <w:rPr>
          <w:rFonts w:ascii="Times New Roman" w:hAnsi="Times New Roman" w:cs="Times New Roman"/>
          <w:i/>
          <w:iCs/>
          <w:sz w:val="22"/>
          <w:szCs w:val="22"/>
        </w:rPr>
        <w:t>Digital Object Identifier</w:t>
      </w:r>
    </w:p>
    <w:p w14:paraId="2E7A11CB" w14:textId="49AD2B17"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sz w:val="22"/>
          <w:szCs w:val="22"/>
        </w:rPr>
        <w:t xml:space="preserve">When not available, the PubMed identification number (PMID) </w:t>
      </w:r>
      <w:r w:rsidR="00403479">
        <w:rPr>
          <w:rFonts w:ascii="Times New Roman" w:hAnsi="Times New Roman" w:cs="Times New Roman"/>
          <w:sz w:val="22"/>
          <w:szCs w:val="22"/>
        </w:rPr>
        <w:t xml:space="preserve">or publication title </w:t>
      </w:r>
      <w:r w:rsidRPr="00376690">
        <w:rPr>
          <w:rFonts w:ascii="Times New Roman" w:hAnsi="Times New Roman" w:cs="Times New Roman"/>
          <w:sz w:val="22"/>
          <w:szCs w:val="22"/>
        </w:rPr>
        <w:t xml:space="preserve">was used. </w:t>
      </w:r>
    </w:p>
    <w:p w14:paraId="74828E8A" w14:textId="77777777" w:rsidR="00CF43BB" w:rsidRDefault="00CF43BB" w:rsidP="00FC41B8">
      <w:pPr>
        <w:spacing w:line="276" w:lineRule="auto"/>
        <w:rPr>
          <w:rFonts w:ascii="Times New Roman" w:hAnsi="Times New Roman" w:cs="Times New Roman"/>
          <w:b/>
          <w:bCs/>
          <w:sz w:val="22"/>
          <w:szCs w:val="22"/>
        </w:rPr>
      </w:pPr>
    </w:p>
    <w:p w14:paraId="1C096EFE" w14:textId="694B4F2E"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b/>
          <w:bCs/>
          <w:sz w:val="22"/>
          <w:szCs w:val="22"/>
        </w:rPr>
        <w:t xml:space="preserve">Author: </w:t>
      </w:r>
      <w:r w:rsidRPr="00376690">
        <w:rPr>
          <w:rFonts w:ascii="Times New Roman" w:hAnsi="Times New Roman" w:cs="Times New Roman"/>
          <w:i/>
          <w:iCs/>
          <w:sz w:val="22"/>
          <w:szCs w:val="22"/>
        </w:rPr>
        <w:t>Author’s last name</w:t>
      </w:r>
      <w:r w:rsidR="00403479">
        <w:rPr>
          <w:rFonts w:ascii="Times New Roman" w:hAnsi="Times New Roman" w:cs="Times New Roman"/>
          <w:i/>
          <w:iCs/>
          <w:sz w:val="22"/>
          <w:szCs w:val="22"/>
        </w:rPr>
        <w:t xml:space="preserve"> and first initial</w:t>
      </w:r>
    </w:p>
    <w:p w14:paraId="45958829" w14:textId="77777777" w:rsidR="00CF43BB" w:rsidRDefault="00CF43BB" w:rsidP="00FC41B8">
      <w:pPr>
        <w:spacing w:line="276" w:lineRule="auto"/>
        <w:rPr>
          <w:rFonts w:ascii="Times New Roman" w:hAnsi="Times New Roman" w:cs="Times New Roman"/>
          <w:b/>
          <w:bCs/>
          <w:sz w:val="22"/>
          <w:szCs w:val="22"/>
        </w:rPr>
      </w:pPr>
    </w:p>
    <w:p w14:paraId="30F3BC5F" w14:textId="4A7E45DF"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b/>
          <w:bCs/>
          <w:sz w:val="22"/>
          <w:szCs w:val="22"/>
        </w:rPr>
        <w:t xml:space="preserve">PubDate: </w:t>
      </w:r>
      <w:r w:rsidRPr="00376690">
        <w:rPr>
          <w:rFonts w:ascii="Times New Roman" w:hAnsi="Times New Roman" w:cs="Times New Roman"/>
          <w:i/>
          <w:iCs/>
          <w:sz w:val="22"/>
          <w:szCs w:val="22"/>
        </w:rPr>
        <w:t>Year the article was published</w:t>
      </w:r>
    </w:p>
    <w:p w14:paraId="4045C67B" w14:textId="77777777" w:rsidR="00CF43BB" w:rsidRDefault="00CF43BB" w:rsidP="00FC41B8">
      <w:pPr>
        <w:spacing w:line="276" w:lineRule="auto"/>
        <w:rPr>
          <w:rFonts w:ascii="Times New Roman" w:hAnsi="Times New Roman" w:cs="Times New Roman"/>
          <w:b/>
          <w:bCs/>
          <w:sz w:val="22"/>
          <w:szCs w:val="22"/>
        </w:rPr>
      </w:pPr>
    </w:p>
    <w:p w14:paraId="1F349ECD" w14:textId="0CAEAC65"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b/>
          <w:bCs/>
          <w:sz w:val="22"/>
          <w:szCs w:val="22"/>
        </w:rPr>
        <w:t xml:space="preserve">ISO3: </w:t>
      </w:r>
      <w:r w:rsidRPr="00376690">
        <w:rPr>
          <w:rFonts w:ascii="Times New Roman" w:hAnsi="Times New Roman" w:cs="Times New Roman"/>
          <w:i/>
          <w:iCs/>
          <w:sz w:val="22"/>
          <w:szCs w:val="22"/>
        </w:rPr>
        <w:t xml:space="preserve">Three-letter country codes. </w:t>
      </w:r>
    </w:p>
    <w:p w14:paraId="40BCD372" w14:textId="426AE8F9" w:rsidR="00FC41B8" w:rsidRPr="00376690" w:rsidRDefault="00B9135B" w:rsidP="00FC41B8">
      <w:pPr>
        <w:spacing w:line="276" w:lineRule="auto"/>
        <w:rPr>
          <w:rFonts w:ascii="Times New Roman" w:hAnsi="Times New Roman" w:cs="Times New Roman"/>
          <w:sz w:val="22"/>
          <w:szCs w:val="22"/>
        </w:rPr>
      </w:pPr>
      <w:r>
        <w:rPr>
          <w:rFonts w:ascii="Times New Roman" w:hAnsi="Times New Roman" w:cs="Times New Roman"/>
          <w:sz w:val="22"/>
          <w:szCs w:val="22"/>
        </w:rPr>
        <w:t>The</w:t>
      </w:r>
      <w:r w:rsidR="00FC41B8" w:rsidRPr="00376690">
        <w:rPr>
          <w:rFonts w:ascii="Times New Roman" w:hAnsi="Times New Roman" w:cs="Times New Roman"/>
          <w:sz w:val="22"/>
          <w:szCs w:val="22"/>
        </w:rPr>
        <w:t xml:space="preserve"> full list</w:t>
      </w:r>
      <w:r>
        <w:rPr>
          <w:rFonts w:ascii="Times New Roman" w:hAnsi="Times New Roman" w:cs="Times New Roman"/>
          <w:sz w:val="22"/>
          <w:szCs w:val="22"/>
        </w:rPr>
        <w:t xml:space="preserve"> is</w:t>
      </w:r>
      <w:r w:rsidR="00FC41B8" w:rsidRPr="00376690">
        <w:rPr>
          <w:rFonts w:ascii="Times New Roman" w:hAnsi="Times New Roman" w:cs="Times New Roman"/>
          <w:sz w:val="22"/>
          <w:szCs w:val="22"/>
        </w:rPr>
        <w:t xml:space="preserve"> available at: https://en.wikipedia.org/wiki/ISO_3166-1_alpha-3 </w:t>
      </w:r>
    </w:p>
    <w:p w14:paraId="4E32E3B4" w14:textId="77777777" w:rsidR="00CF43BB" w:rsidRDefault="00CF43BB" w:rsidP="00FC41B8">
      <w:pPr>
        <w:spacing w:line="276" w:lineRule="auto"/>
        <w:rPr>
          <w:rFonts w:ascii="Times New Roman" w:hAnsi="Times New Roman" w:cs="Times New Roman"/>
          <w:b/>
          <w:bCs/>
          <w:sz w:val="22"/>
          <w:szCs w:val="22"/>
        </w:rPr>
      </w:pPr>
    </w:p>
    <w:p w14:paraId="2708A65D" w14:textId="5ECA29B3"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b/>
          <w:bCs/>
          <w:sz w:val="22"/>
          <w:szCs w:val="22"/>
        </w:rPr>
        <w:t>Y</w:t>
      </w:r>
      <w:r w:rsidR="00B9135B">
        <w:rPr>
          <w:rFonts w:ascii="Times New Roman" w:hAnsi="Times New Roman" w:cs="Times New Roman"/>
          <w:b/>
          <w:bCs/>
          <w:sz w:val="22"/>
          <w:szCs w:val="22"/>
        </w:rPr>
        <w:t>C</w:t>
      </w:r>
      <w:r w:rsidRPr="00376690">
        <w:rPr>
          <w:rFonts w:ascii="Times New Roman" w:hAnsi="Times New Roman" w:cs="Times New Roman"/>
          <w:b/>
          <w:bCs/>
          <w:sz w:val="22"/>
          <w:szCs w:val="22"/>
        </w:rPr>
        <w:t>oord/X</w:t>
      </w:r>
      <w:r w:rsidR="00B9135B">
        <w:rPr>
          <w:rFonts w:ascii="Times New Roman" w:hAnsi="Times New Roman" w:cs="Times New Roman"/>
          <w:b/>
          <w:bCs/>
          <w:sz w:val="22"/>
          <w:szCs w:val="22"/>
        </w:rPr>
        <w:t>C</w:t>
      </w:r>
      <w:r w:rsidRPr="00376690">
        <w:rPr>
          <w:rFonts w:ascii="Times New Roman" w:hAnsi="Times New Roman" w:cs="Times New Roman"/>
          <w:b/>
          <w:bCs/>
          <w:sz w:val="22"/>
          <w:szCs w:val="22"/>
        </w:rPr>
        <w:t xml:space="preserve">oord: </w:t>
      </w:r>
      <w:r w:rsidRPr="00376690">
        <w:rPr>
          <w:rFonts w:ascii="Times New Roman" w:hAnsi="Times New Roman" w:cs="Times New Roman"/>
          <w:i/>
          <w:iCs/>
          <w:sz w:val="22"/>
          <w:szCs w:val="22"/>
        </w:rPr>
        <w:t>Latitude/Longitude in decimal degree</w:t>
      </w:r>
    </w:p>
    <w:p w14:paraId="3DB6FC37" w14:textId="2D1425C2" w:rsidR="00FC41B8" w:rsidRDefault="00FC41B8" w:rsidP="00797AA5">
      <w:pPr>
        <w:spacing w:line="276" w:lineRule="auto"/>
        <w:rPr>
          <w:rFonts w:ascii="Times New Roman" w:hAnsi="Times New Roman" w:cs="Times New Roman"/>
          <w:sz w:val="22"/>
          <w:szCs w:val="22"/>
        </w:rPr>
      </w:pPr>
      <w:r w:rsidRPr="00376690">
        <w:rPr>
          <w:rFonts w:ascii="Times New Roman" w:hAnsi="Times New Roman" w:cs="Times New Roman"/>
          <w:sz w:val="22"/>
          <w:szCs w:val="22"/>
        </w:rPr>
        <w:t xml:space="preserve">The X/Y-coordinates define the position of the area where the field sampling was performed. </w:t>
      </w:r>
      <w:r w:rsidR="00797AA5">
        <w:rPr>
          <w:rFonts w:ascii="Times New Roman" w:hAnsi="Times New Roman" w:cs="Times New Roman"/>
          <w:sz w:val="22"/>
          <w:szCs w:val="22"/>
        </w:rPr>
        <w:t>The method used to determine the coordinates is described under “GeoPosMethod.”</w:t>
      </w:r>
    </w:p>
    <w:p w14:paraId="3DDE1F62" w14:textId="0D66CC85" w:rsidR="00D325A1" w:rsidRDefault="00D325A1" w:rsidP="00FC41B8">
      <w:pPr>
        <w:spacing w:line="276" w:lineRule="auto"/>
        <w:rPr>
          <w:rFonts w:ascii="Times New Roman" w:hAnsi="Times New Roman" w:cs="Times New Roman"/>
          <w:sz w:val="22"/>
          <w:szCs w:val="22"/>
        </w:rPr>
      </w:pPr>
    </w:p>
    <w:p w14:paraId="77746A87" w14:textId="3DE109FC" w:rsidR="001E432E" w:rsidRDefault="00D325A1" w:rsidP="00FC41B8">
      <w:pPr>
        <w:spacing w:line="276" w:lineRule="auto"/>
        <w:rPr>
          <w:rFonts w:ascii="Times New Roman" w:hAnsi="Times New Roman" w:cs="Times New Roman"/>
          <w:i/>
          <w:iCs/>
          <w:sz w:val="22"/>
          <w:szCs w:val="22"/>
        </w:rPr>
      </w:pPr>
      <w:r w:rsidRPr="00500501">
        <w:rPr>
          <w:rFonts w:ascii="Times New Roman" w:hAnsi="Times New Roman" w:cs="Times New Roman"/>
          <w:b/>
          <w:bCs/>
          <w:sz w:val="22"/>
          <w:szCs w:val="22"/>
        </w:rPr>
        <w:t>PlaceName:</w:t>
      </w:r>
      <w:r w:rsidR="00797AA5">
        <w:rPr>
          <w:rFonts w:ascii="Times New Roman" w:hAnsi="Times New Roman" w:cs="Times New Roman"/>
          <w:b/>
          <w:bCs/>
          <w:sz w:val="22"/>
          <w:szCs w:val="22"/>
        </w:rPr>
        <w:t xml:space="preserve"> </w:t>
      </w:r>
      <w:r w:rsidR="00797AA5">
        <w:rPr>
          <w:rFonts w:ascii="Times New Roman" w:hAnsi="Times New Roman" w:cs="Times New Roman"/>
          <w:i/>
          <w:iCs/>
          <w:sz w:val="22"/>
          <w:szCs w:val="22"/>
        </w:rPr>
        <w:t>Sampling location(s) named in publication</w:t>
      </w:r>
    </w:p>
    <w:p w14:paraId="7D48DFD6" w14:textId="1A02ED9C" w:rsidR="00C6331A" w:rsidRDefault="00C6331A" w:rsidP="00FC41B8">
      <w:pPr>
        <w:spacing w:line="276" w:lineRule="auto"/>
        <w:rPr>
          <w:rFonts w:ascii="Times New Roman" w:hAnsi="Times New Roman" w:cs="Times New Roman"/>
          <w:sz w:val="22"/>
          <w:szCs w:val="22"/>
        </w:rPr>
      </w:pPr>
    </w:p>
    <w:p w14:paraId="3F13C6CF" w14:textId="77777777" w:rsidR="009B1C90" w:rsidRPr="001E432E" w:rsidRDefault="009B1C90" w:rsidP="009B1C90">
      <w:pPr>
        <w:spacing w:line="276" w:lineRule="auto"/>
        <w:rPr>
          <w:rFonts w:ascii="Times New Roman" w:hAnsi="Times New Roman" w:cs="Times New Roman"/>
          <w:i/>
          <w:iCs/>
          <w:sz w:val="22"/>
          <w:szCs w:val="22"/>
        </w:rPr>
      </w:pPr>
      <w:r w:rsidRPr="00500501">
        <w:rPr>
          <w:rFonts w:ascii="Times New Roman" w:hAnsi="Times New Roman" w:cs="Times New Roman"/>
          <w:b/>
          <w:bCs/>
          <w:sz w:val="22"/>
          <w:szCs w:val="22"/>
        </w:rPr>
        <w:t>LocationType:</w:t>
      </w:r>
      <w:r>
        <w:rPr>
          <w:rFonts w:ascii="Times New Roman" w:hAnsi="Times New Roman" w:cs="Times New Roman"/>
          <w:sz w:val="22"/>
          <w:szCs w:val="22"/>
        </w:rPr>
        <w:t xml:space="preserve"> </w:t>
      </w:r>
      <w:r>
        <w:rPr>
          <w:rFonts w:ascii="Times New Roman" w:hAnsi="Times New Roman" w:cs="Times New Roman"/>
          <w:i/>
          <w:iCs/>
          <w:sz w:val="22"/>
          <w:szCs w:val="22"/>
        </w:rPr>
        <w:t>Water type where samples were collected</w:t>
      </w:r>
    </w:p>
    <w:p w14:paraId="74BEB668" w14:textId="77777777" w:rsidR="009B1C90" w:rsidRDefault="009B1C90" w:rsidP="009B1C90">
      <w:pPr>
        <w:spacing w:line="276" w:lineRule="auto"/>
        <w:rPr>
          <w:rFonts w:ascii="Times New Roman" w:hAnsi="Times New Roman" w:cs="Times New Roman"/>
          <w:sz w:val="22"/>
          <w:szCs w:val="22"/>
        </w:rPr>
      </w:pPr>
      <w:r>
        <w:rPr>
          <w:rFonts w:ascii="Times New Roman" w:hAnsi="Times New Roman" w:cs="Times New Roman"/>
          <w:sz w:val="22"/>
          <w:szCs w:val="22"/>
        </w:rPr>
        <w:t>Seven categories were possible for assignment: i</w:t>
      </w:r>
      <w:r w:rsidRPr="001E432E">
        <w:rPr>
          <w:rFonts w:ascii="Times New Roman" w:hAnsi="Times New Roman" w:cs="Times New Roman"/>
          <w:sz w:val="22"/>
          <w:szCs w:val="22"/>
        </w:rPr>
        <w:t xml:space="preserve">nland freshwater; </w:t>
      </w:r>
      <w:r>
        <w:rPr>
          <w:rFonts w:ascii="Times New Roman" w:hAnsi="Times New Roman" w:cs="Times New Roman"/>
          <w:sz w:val="22"/>
          <w:szCs w:val="22"/>
        </w:rPr>
        <w:t>b</w:t>
      </w:r>
      <w:r w:rsidRPr="001E432E">
        <w:rPr>
          <w:rFonts w:ascii="Times New Roman" w:hAnsi="Times New Roman" w:cs="Times New Roman"/>
          <w:sz w:val="22"/>
          <w:szCs w:val="22"/>
        </w:rPr>
        <w:t xml:space="preserve">rackish water; </w:t>
      </w:r>
      <w:r>
        <w:rPr>
          <w:rFonts w:ascii="Times New Roman" w:hAnsi="Times New Roman" w:cs="Times New Roman"/>
          <w:sz w:val="22"/>
          <w:szCs w:val="22"/>
        </w:rPr>
        <w:t>c</w:t>
      </w:r>
      <w:r w:rsidRPr="001E432E">
        <w:rPr>
          <w:rFonts w:ascii="Times New Roman" w:hAnsi="Times New Roman" w:cs="Times New Roman"/>
          <w:sz w:val="22"/>
          <w:szCs w:val="22"/>
        </w:rPr>
        <w:t xml:space="preserve">oastal </w:t>
      </w:r>
      <w:r>
        <w:rPr>
          <w:rFonts w:ascii="Times New Roman" w:hAnsi="Times New Roman" w:cs="Times New Roman"/>
          <w:sz w:val="22"/>
          <w:szCs w:val="22"/>
        </w:rPr>
        <w:t>b</w:t>
      </w:r>
      <w:r w:rsidRPr="001E432E">
        <w:rPr>
          <w:rFonts w:ascii="Times New Roman" w:hAnsi="Times New Roman" w:cs="Times New Roman"/>
          <w:sz w:val="22"/>
          <w:szCs w:val="22"/>
        </w:rPr>
        <w:t xml:space="preserve">rackish water; marine; </w:t>
      </w:r>
      <w:r>
        <w:rPr>
          <w:rFonts w:ascii="Times New Roman" w:hAnsi="Times New Roman" w:cs="Times New Roman"/>
          <w:sz w:val="22"/>
          <w:szCs w:val="22"/>
        </w:rPr>
        <w:t>c</w:t>
      </w:r>
      <w:r w:rsidRPr="001E432E">
        <w:rPr>
          <w:rFonts w:ascii="Times New Roman" w:hAnsi="Times New Roman" w:cs="Times New Roman"/>
          <w:sz w:val="22"/>
          <w:szCs w:val="22"/>
        </w:rPr>
        <w:t>oastal marine;</w:t>
      </w:r>
      <w:r>
        <w:rPr>
          <w:rFonts w:ascii="Times New Roman" w:hAnsi="Times New Roman" w:cs="Times New Roman"/>
          <w:sz w:val="22"/>
          <w:szCs w:val="22"/>
        </w:rPr>
        <w:t xml:space="preserve"> inland RAS (recirculating aquaculture system); and</w:t>
      </w:r>
      <w:r w:rsidRPr="001E432E">
        <w:rPr>
          <w:rFonts w:ascii="Times New Roman" w:hAnsi="Times New Roman" w:cs="Times New Roman"/>
          <w:sz w:val="22"/>
          <w:szCs w:val="22"/>
        </w:rPr>
        <w:t xml:space="preserve"> post</w:t>
      </w:r>
      <w:r>
        <w:rPr>
          <w:rFonts w:ascii="Times New Roman" w:hAnsi="Times New Roman" w:cs="Times New Roman"/>
          <w:sz w:val="22"/>
          <w:szCs w:val="22"/>
        </w:rPr>
        <w:t>-</w:t>
      </w:r>
      <w:r w:rsidRPr="001E432E">
        <w:rPr>
          <w:rFonts w:ascii="Times New Roman" w:hAnsi="Times New Roman" w:cs="Times New Roman"/>
          <w:sz w:val="22"/>
          <w:szCs w:val="22"/>
        </w:rPr>
        <w:t>harvest</w:t>
      </w:r>
      <w:r>
        <w:rPr>
          <w:rFonts w:ascii="Times New Roman" w:hAnsi="Times New Roman" w:cs="Times New Roman"/>
          <w:sz w:val="22"/>
          <w:szCs w:val="22"/>
        </w:rPr>
        <w:t>.</w:t>
      </w:r>
    </w:p>
    <w:p w14:paraId="726900BE" w14:textId="77777777" w:rsidR="009B1C90" w:rsidRPr="00C6331A" w:rsidRDefault="009B1C90" w:rsidP="00FC41B8">
      <w:pPr>
        <w:spacing w:line="276" w:lineRule="auto"/>
        <w:rPr>
          <w:rFonts w:ascii="Times New Roman" w:hAnsi="Times New Roman" w:cs="Times New Roman"/>
          <w:sz w:val="22"/>
          <w:szCs w:val="22"/>
        </w:rPr>
      </w:pPr>
    </w:p>
    <w:p w14:paraId="24399DFD" w14:textId="3EC5D5B2"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b/>
          <w:bCs/>
          <w:sz w:val="22"/>
          <w:szCs w:val="22"/>
        </w:rPr>
        <w:t xml:space="preserve">StartDate/EndDate: </w:t>
      </w:r>
      <w:r w:rsidRPr="00376690">
        <w:rPr>
          <w:rFonts w:ascii="Times New Roman" w:hAnsi="Times New Roman" w:cs="Times New Roman"/>
          <w:i/>
          <w:iCs/>
          <w:sz w:val="22"/>
          <w:szCs w:val="22"/>
        </w:rPr>
        <w:t xml:space="preserve">Start </w:t>
      </w:r>
      <w:r w:rsidR="000E12C3">
        <w:rPr>
          <w:rFonts w:ascii="Times New Roman" w:hAnsi="Times New Roman" w:cs="Times New Roman"/>
          <w:i/>
          <w:iCs/>
          <w:sz w:val="22"/>
          <w:szCs w:val="22"/>
        </w:rPr>
        <w:t xml:space="preserve">and end </w:t>
      </w:r>
      <w:r w:rsidRPr="00376690">
        <w:rPr>
          <w:rFonts w:ascii="Times New Roman" w:hAnsi="Times New Roman" w:cs="Times New Roman"/>
          <w:i/>
          <w:iCs/>
          <w:sz w:val="22"/>
          <w:szCs w:val="22"/>
        </w:rPr>
        <w:t>date of study, specified in the article</w:t>
      </w:r>
    </w:p>
    <w:p w14:paraId="516EBA3E" w14:textId="5AF34EF8"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sz w:val="22"/>
          <w:szCs w:val="22"/>
        </w:rPr>
        <w:t>This refers to the sampling dates. Following format was used: month</w:t>
      </w:r>
      <w:r w:rsidR="000E12C3">
        <w:rPr>
          <w:rFonts w:ascii="Times New Roman" w:hAnsi="Times New Roman" w:cs="Times New Roman"/>
          <w:sz w:val="22"/>
          <w:szCs w:val="22"/>
        </w:rPr>
        <w:t>/day</w:t>
      </w:r>
      <w:r w:rsidRPr="00376690">
        <w:rPr>
          <w:rFonts w:ascii="Times New Roman" w:hAnsi="Times New Roman" w:cs="Times New Roman"/>
          <w:sz w:val="22"/>
          <w:szCs w:val="22"/>
        </w:rPr>
        <w:t>/year (e.g., 09/</w:t>
      </w:r>
      <w:r w:rsidR="000E12C3">
        <w:rPr>
          <w:rFonts w:ascii="Times New Roman" w:hAnsi="Times New Roman" w:cs="Times New Roman"/>
          <w:sz w:val="22"/>
          <w:szCs w:val="22"/>
        </w:rPr>
        <w:t>25/2010</w:t>
      </w:r>
      <w:r w:rsidRPr="00376690">
        <w:rPr>
          <w:rFonts w:ascii="Times New Roman" w:hAnsi="Times New Roman" w:cs="Times New Roman"/>
          <w:sz w:val="22"/>
          <w:szCs w:val="22"/>
        </w:rPr>
        <w:t xml:space="preserve">). Sampling might span several time periods. When exact days of sampling were not mentioned, the 15th of each month was assumed. When only sampling year(s) were given, the first and the last day of the referred period </w:t>
      </w:r>
      <w:r w:rsidR="000E12C3">
        <w:rPr>
          <w:rFonts w:ascii="Times New Roman" w:hAnsi="Times New Roman" w:cs="Times New Roman"/>
          <w:sz w:val="22"/>
          <w:szCs w:val="22"/>
        </w:rPr>
        <w:t>was</w:t>
      </w:r>
      <w:r w:rsidRPr="00376690">
        <w:rPr>
          <w:rFonts w:ascii="Times New Roman" w:hAnsi="Times New Roman" w:cs="Times New Roman"/>
          <w:sz w:val="22"/>
          <w:szCs w:val="22"/>
        </w:rPr>
        <w:t xml:space="preserve"> used (e.g., 2012-2013, 01/01/2012 for StartDate and 12/</w:t>
      </w:r>
      <w:r w:rsidR="000E12C3">
        <w:rPr>
          <w:rFonts w:ascii="Times New Roman" w:hAnsi="Times New Roman" w:cs="Times New Roman"/>
          <w:sz w:val="22"/>
          <w:szCs w:val="22"/>
        </w:rPr>
        <w:t>31/</w:t>
      </w:r>
      <w:r w:rsidRPr="00376690">
        <w:rPr>
          <w:rFonts w:ascii="Times New Roman" w:hAnsi="Times New Roman" w:cs="Times New Roman"/>
          <w:sz w:val="22"/>
          <w:szCs w:val="22"/>
        </w:rPr>
        <w:t xml:space="preserve">2013 for EndDate). </w:t>
      </w:r>
    </w:p>
    <w:p w14:paraId="39028D3B" w14:textId="77777777" w:rsidR="00CF43BB" w:rsidRDefault="00CF43BB" w:rsidP="00FC41B8">
      <w:pPr>
        <w:spacing w:line="276" w:lineRule="auto"/>
        <w:rPr>
          <w:rFonts w:ascii="Times New Roman" w:hAnsi="Times New Roman" w:cs="Times New Roman"/>
          <w:b/>
          <w:bCs/>
          <w:sz w:val="22"/>
          <w:szCs w:val="22"/>
        </w:rPr>
      </w:pPr>
    </w:p>
    <w:p w14:paraId="1FEBB35E" w14:textId="4D9C7898" w:rsidR="00FC41B8" w:rsidRPr="00376690" w:rsidRDefault="00FC41B8" w:rsidP="00FC41B8">
      <w:pPr>
        <w:spacing w:line="276" w:lineRule="auto"/>
        <w:rPr>
          <w:rFonts w:ascii="Times New Roman" w:hAnsi="Times New Roman" w:cs="Times New Roman"/>
          <w:sz w:val="22"/>
          <w:szCs w:val="22"/>
        </w:rPr>
      </w:pPr>
      <w:r w:rsidRPr="007F71D6">
        <w:rPr>
          <w:rFonts w:ascii="Times New Roman" w:hAnsi="Times New Roman" w:cs="Times New Roman"/>
          <w:b/>
          <w:bCs/>
          <w:sz w:val="22"/>
          <w:szCs w:val="22"/>
        </w:rPr>
        <w:t xml:space="preserve">Species: </w:t>
      </w:r>
      <w:r w:rsidRPr="007F71D6">
        <w:rPr>
          <w:rFonts w:ascii="Times New Roman" w:hAnsi="Times New Roman" w:cs="Times New Roman"/>
          <w:i/>
          <w:iCs/>
          <w:sz w:val="22"/>
          <w:szCs w:val="22"/>
        </w:rPr>
        <w:t xml:space="preserve">Animal species </w:t>
      </w:r>
      <w:r w:rsidR="00C702EF" w:rsidRPr="007F71D6">
        <w:rPr>
          <w:rFonts w:ascii="Times New Roman" w:hAnsi="Times New Roman" w:cs="Times New Roman"/>
          <w:i/>
          <w:iCs/>
          <w:sz w:val="22"/>
          <w:szCs w:val="22"/>
        </w:rPr>
        <w:t>sampled</w:t>
      </w:r>
    </w:p>
    <w:p w14:paraId="10EBD945" w14:textId="684F9074" w:rsidR="00FC41B8" w:rsidRDefault="00C702EF" w:rsidP="005B4BE4">
      <w:pPr>
        <w:spacing w:line="276" w:lineRule="auto"/>
        <w:rPr>
          <w:rFonts w:ascii="Times New Roman" w:hAnsi="Times New Roman" w:cs="Times New Roman"/>
          <w:sz w:val="22"/>
          <w:szCs w:val="22"/>
        </w:rPr>
      </w:pPr>
      <w:r>
        <w:rPr>
          <w:rFonts w:ascii="Times New Roman" w:hAnsi="Times New Roman" w:cs="Times New Roman"/>
          <w:sz w:val="22"/>
          <w:szCs w:val="22"/>
        </w:rPr>
        <w:t xml:space="preserve">For publications with samples originating from multiple </w:t>
      </w:r>
      <w:r w:rsidR="005B4BE4">
        <w:rPr>
          <w:rFonts w:ascii="Times New Roman" w:hAnsi="Times New Roman" w:cs="Times New Roman"/>
          <w:sz w:val="22"/>
          <w:szCs w:val="22"/>
        </w:rPr>
        <w:t xml:space="preserve">animal </w:t>
      </w:r>
      <w:r>
        <w:rPr>
          <w:rFonts w:ascii="Times New Roman" w:hAnsi="Times New Roman" w:cs="Times New Roman"/>
          <w:sz w:val="22"/>
          <w:szCs w:val="22"/>
        </w:rPr>
        <w:t xml:space="preserve">species, each animal species sampled </w:t>
      </w:r>
      <w:r w:rsidR="005B4BE4">
        <w:rPr>
          <w:rFonts w:ascii="Times New Roman" w:hAnsi="Times New Roman" w:cs="Times New Roman"/>
          <w:sz w:val="22"/>
          <w:szCs w:val="22"/>
        </w:rPr>
        <w:t xml:space="preserve">and its corresponding information </w:t>
      </w:r>
      <w:r>
        <w:rPr>
          <w:rFonts w:ascii="Times New Roman" w:hAnsi="Times New Roman" w:cs="Times New Roman"/>
          <w:sz w:val="22"/>
          <w:szCs w:val="22"/>
        </w:rPr>
        <w:t>was individually recorded</w:t>
      </w:r>
      <w:r w:rsidR="009367C8">
        <w:rPr>
          <w:rFonts w:ascii="Times New Roman" w:hAnsi="Times New Roman" w:cs="Times New Roman"/>
          <w:sz w:val="22"/>
          <w:szCs w:val="22"/>
        </w:rPr>
        <w:t xml:space="preserve"> when provided in the publication</w:t>
      </w:r>
      <w:r>
        <w:rPr>
          <w:rFonts w:ascii="Times New Roman" w:hAnsi="Times New Roman" w:cs="Times New Roman"/>
          <w:sz w:val="22"/>
          <w:szCs w:val="22"/>
        </w:rPr>
        <w:t xml:space="preserve">. </w:t>
      </w:r>
      <w:r w:rsidR="005B4BE4">
        <w:rPr>
          <w:rFonts w:ascii="Times New Roman" w:hAnsi="Times New Roman" w:cs="Times New Roman"/>
          <w:sz w:val="22"/>
          <w:szCs w:val="22"/>
        </w:rPr>
        <w:t>Where samples originated from multiple animal species and could not be disaggregated, each species was individually recorded and the corresponding information for all of the animal species sampled as a group was recorded.</w:t>
      </w:r>
    </w:p>
    <w:p w14:paraId="6FC20411" w14:textId="77777777" w:rsidR="0086127D" w:rsidRDefault="0086127D" w:rsidP="00FC41B8">
      <w:pPr>
        <w:spacing w:line="276" w:lineRule="auto"/>
        <w:rPr>
          <w:rFonts w:ascii="Times New Roman" w:hAnsi="Times New Roman" w:cs="Times New Roman"/>
          <w:sz w:val="22"/>
          <w:szCs w:val="22"/>
        </w:rPr>
      </w:pPr>
    </w:p>
    <w:p w14:paraId="476761D7" w14:textId="5F53585E" w:rsidR="00D325A1" w:rsidRPr="00DE2121" w:rsidRDefault="00D325A1" w:rsidP="00FC41B8">
      <w:pPr>
        <w:spacing w:line="276" w:lineRule="auto"/>
        <w:rPr>
          <w:rFonts w:ascii="Times New Roman" w:hAnsi="Times New Roman" w:cs="Times New Roman"/>
          <w:i/>
          <w:iCs/>
          <w:sz w:val="22"/>
          <w:szCs w:val="22"/>
        </w:rPr>
      </w:pPr>
      <w:r w:rsidRPr="00500501">
        <w:rPr>
          <w:rFonts w:ascii="Times New Roman" w:hAnsi="Times New Roman" w:cs="Times New Roman"/>
          <w:b/>
          <w:bCs/>
          <w:sz w:val="22"/>
          <w:szCs w:val="22"/>
        </w:rPr>
        <w:t>HistoryAMU:</w:t>
      </w:r>
      <w:r w:rsidR="00DE2121">
        <w:rPr>
          <w:rFonts w:ascii="Times New Roman" w:hAnsi="Times New Roman" w:cs="Times New Roman"/>
          <w:sz w:val="22"/>
          <w:szCs w:val="22"/>
        </w:rPr>
        <w:t xml:space="preserve"> </w:t>
      </w:r>
      <w:r w:rsidR="006370F1">
        <w:rPr>
          <w:rFonts w:ascii="Times New Roman" w:hAnsi="Times New Roman" w:cs="Times New Roman"/>
          <w:i/>
          <w:iCs/>
          <w:sz w:val="22"/>
          <w:szCs w:val="22"/>
        </w:rPr>
        <w:t>Whether a</w:t>
      </w:r>
      <w:r w:rsidR="00DE2121">
        <w:rPr>
          <w:rFonts w:ascii="Times New Roman" w:hAnsi="Times New Roman" w:cs="Times New Roman"/>
          <w:i/>
          <w:iCs/>
          <w:sz w:val="22"/>
          <w:szCs w:val="22"/>
        </w:rPr>
        <w:t>ntimicrobial</w:t>
      </w:r>
      <w:r w:rsidR="006370F1">
        <w:rPr>
          <w:rFonts w:ascii="Times New Roman" w:hAnsi="Times New Roman" w:cs="Times New Roman"/>
          <w:i/>
          <w:iCs/>
          <w:sz w:val="22"/>
          <w:szCs w:val="22"/>
        </w:rPr>
        <w:t>s were</w:t>
      </w:r>
      <w:r w:rsidR="00DE2121">
        <w:rPr>
          <w:rFonts w:ascii="Times New Roman" w:hAnsi="Times New Roman" w:cs="Times New Roman"/>
          <w:i/>
          <w:iCs/>
          <w:sz w:val="22"/>
          <w:szCs w:val="22"/>
        </w:rPr>
        <w:t xml:space="preserve"> use</w:t>
      </w:r>
      <w:r w:rsidR="006370F1">
        <w:rPr>
          <w:rFonts w:ascii="Times New Roman" w:hAnsi="Times New Roman" w:cs="Times New Roman"/>
          <w:i/>
          <w:iCs/>
          <w:sz w:val="22"/>
          <w:szCs w:val="22"/>
        </w:rPr>
        <w:t>d</w:t>
      </w:r>
      <w:r w:rsidR="00DE2121">
        <w:rPr>
          <w:rFonts w:ascii="Times New Roman" w:hAnsi="Times New Roman" w:cs="Times New Roman"/>
          <w:i/>
          <w:iCs/>
          <w:sz w:val="22"/>
          <w:szCs w:val="22"/>
        </w:rPr>
        <w:t xml:space="preserve"> in sampled animals</w:t>
      </w:r>
    </w:p>
    <w:p w14:paraId="3E4AA6C4" w14:textId="25AFC3C1" w:rsidR="00DE2121" w:rsidRDefault="00DE2121" w:rsidP="00FC41B8">
      <w:pPr>
        <w:spacing w:line="276" w:lineRule="auto"/>
        <w:rPr>
          <w:rFonts w:ascii="Times New Roman" w:hAnsi="Times New Roman" w:cs="Times New Roman"/>
          <w:sz w:val="22"/>
          <w:szCs w:val="22"/>
        </w:rPr>
      </w:pPr>
      <w:r>
        <w:rPr>
          <w:rFonts w:ascii="Times New Roman" w:hAnsi="Times New Roman" w:cs="Times New Roman"/>
          <w:sz w:val="22"/>
          <w:szCs w:val="22"/>
        </w:rPr>
        <w:t>Yes/No. Only for publications specifically indicating antimicrobials were/were not applied to the sampled animals prior to sampling; otherwise, NA was entered.</w:t>
      </w:r>
    </w:p>
    <w:p w14:paraId="068B3D4A" w14:textId="26BB04AB" w:rsidR="00D325A1" w:rsidRDefault="00D325A1" w:rsidP="00FC41B8">
      <w:pPr>
        <w:spacing w:line="276" w:lineRule="auto"/>
        <w:rPr>
          <w:rFonts w:ascii="Times New Roman" w:hAnsi="Times New Roman" w:cs="Times New Roman"/>
          <w:sz w:val="22"/>
          <w:szCs w:val="22"/>
        </w:rPr>
      </w:pPr>
    </w:p>
    <w:p w14:paraId="6FAEE438" w14:textId="093E3138" w:rsidR="00D325A1" w:rsidRPr="007E7AD1" w:rsidRDefault="00D325A1" w:rsidP="00FC41B8">
      <w:pPr>
        <w:spacing w:line="276" w:lineRule="auto"/>
        <w:rPr>
          <w:rFonts w:ascii="Times New Roman" w:hAnsi="Times New Roman" w:cs="Times New Roman"/>
          <w:i/>
          <w:iCs/>
          <w:sz w:val="22"/>
          <w:szCs w:val="22"/>
        </w:rPr>
      </w:pPr>
      <w:r w:rsidRPr="00500501">
        <w:rPr>
          <w:rFonts w:ascii="Times New Roman" w:hAnsi="Times New Roman" w:cs="Times New Roman"/>
          <w:b/>
          <w:bCs/>
          <w:sz w:val="22"/>
          <w:szCs w:val="22"/>
        </w:rPr>
        <w:t>SampleOrigin:</w:t>
      </w:r>
      <w:r w:rsidR="007E7AD1">
        <w:rPr>
          <w:rFonts w:ascii="Times New Roman" w:hAnsi="Times New Roman" w:cs="Times New Roman"/>
          <w:sz w:val="22"/>
          <w:szCs w:val="22"/>
        </w:rPr>
        <w:t xml:space="preserve"> </w:t>
      </w:r>
      <w:r w:rsidR="007E7AD1">
        <w:rPr>
          <w:rFonts w:ascii="Times New Roman" w:hAnsi="Times New Roman" w:cs="Times New Roman"/>
          <w:i/>
          <w:iCs/>
          <w:sz w:val="22"/>
          <w:szCs w:val="22"/>
        </w:rPr>
        <w:t>Status of animal or animal product sampled</w:t>
      </w:r>
    </w:p>
    <w:p w14:paraId="1154B0E2" w14:textId="5BEDD00C" w:rsidR="00D325A1" w:rsidRDefault="007E7AD1" w:rsidP="00FC41B8">
      <w:pPr>
        <w:spacing w:line="276" w:lineRule="auto"/>
        <w:rPr>
          <w:rFonts w:ascii="Times New Roman" w:hAnsi="Times New Roman" w:cs="Times New Roman"/>
          <w:sz w:val="22"/>
          <w:szCs w:val="22"/>
        </w:rPr>
      </w:pPr>
      <w:r>
        <w:rPr>
          <w:rFonts w:ascii="Times New Roman" w:hAnsi="Times New Roman" w:cs="Times New Roman"/>
          <w:sz w:val="22"/>
          <w:szCs w:val="22"/>
        </w:rPr>
        <w:t>A</w:t>
      </w:r>
      <w:r w:rsidR="00A52493">
        <w:rPr>
          <w:rFonts w:ascii="Times New Roman" w:hAnsi="Times New Roman" w:cs="Times New Roman"/>
          <w:sz w:val="22"/>
          <w:szCs w:val="22"/>
        </w:rPr>
        <w:t>t time of sampling, a</w:t>
      </w:r>
      <w:r>
        <w:rPr>
          <w:rFonts w:ascii="Times New Roman" w:hAnsi="Times New Roman" w:cs="Times New Roman"/>
          <w:sz w:val="22"/>
          <w:szCs w:val="22"/>
        </w:rPr>
        <w:t xml:space="preserve">nimals sampled were recorded </w:t>
      </w:r>
      <w:r w:rsidR="00A52493">
        <w:rPr>
          <w:rFonts w:ascii="Times New Roman" w:hAnsi="Times New Roman" w:cs="Times New Roman"/>
          <w:sz w:val="22"/>
          <w:szCs w:val="22"/>
        </w:rPr>
        <w:t>as living or killed, or, if animal product, as product.</w:t>
      </w:r>
    </w:p>
    <w:p w14:paraId="4C1C16A9" w14:textId="77777777" w:rsidR="007E7AD1" w:rsidRDefault="007E7AD1" w:rsidP="00FC41B8">
      <w:pPr>
        <w:spacing w:line="276" w:lineRule="auto"/>
        <w:rPr>
          <w:rFonts w:ascii="Times New Roman" w:hAnsi="Times New Roman" w:cs="Times New Roman"/>
          <w:b/>
          <w:bCs/>
          <w:sz w:val="22"/>
          <w:szCs w:val="22"/>
        </w:rPr>
      </w:pPr>
    </w:p>
    <w:p w14:paraId="57214F81" w14:textId="618D638C" w:rsidR="00D325A1" w:rsidRDefault="00D325A1" w:rsidP="00FC41B8">
      <w:pPr>
        <w:spacing w:line="276" w:lineRule="auto"/>
        <w:rPr>
          <w:rFonts w:ascii="Times New Roman" w:hAnsi="Times New Roman" w:cs="Times New Roman"/>
          <w:i/>
          <w:iCs/>
          <w:sz w:val="22"/>
          <w:szCs w:val="22"/>
        </w:rPr>
      </w:pPr>
      <w:r w:rsidRPr="00500501">
        <w:rPr>
          <w:rFonts w:ascii="Times New Roman" w:hAnsi="Times New Roman" w:cs="Times New Roman"/>
          <w:b/>
          <w:bCs/>
          <w:sz w:val="22"/>
          <w:szCs w:val="22"/>
        </w:rPr>
        <w:t>HealthStatus:</w:t>
      </w:r>
      <w:r w:rsidR="00A52493">
        <w:rPr>
          <w:rFonts w:ascii="Times New Roman" w:hAnsi="Times New Roman" w:cs="Times New Roman"/>
          <w:sz w:val="22"/>
          <w:szCs w:val="22"/>
        </w:rPr>
        <w:t xml:space="preserve"> </w:t>
      </w:r>
      <w:r w:rsidR="00A52493">
        <w:rPr>
          <w:rFonts w:ascii="Times New Roman" w:hAnsi="Times New Roman" w:cs="Times New Roman"/>
          <w:i/>
          <w:iCs/>
          <w:sz w:val="22"/>
          <w:szCs w:val="22"/>
        </w:rPr>
        <w:t>Health status of animal sampled</w:t>
      </w:r>
    </w:p>
    <w:p w14:paraId="0830EC72" w14:textId="19FADAB7" w:rsidR="00A52493" w:rsidRPr="00A52493" w:rsidRDefault="00A52493" w:rsidP="00FC41B8">
      <w:pPr>
        <w:spacing w:line="276" w:lineRule="auto"/>
        <w:rPr>
          <w:rFonts w:ascii="Times New Roman" w:hAnsi="Times New Roman" w:cs="Times New Roman"/>
          <w:sz w:val="22"/>
          <w:szCs w:val="22"/>
        </w:rPr>
      </w:pPr>
      <w:r>
        <w:rPr>
          <w:rFonts w:ascii="Times New Roman" w:hAnsi="Times New Roman" w:cs="Times New Roman"/>
          <w:sz w:val="22"/>
          <w:szCs w:val="22"/>
        </w:rPr>
        <w:t>At time of sampling, animals sampled were recorded as healthy, diseased, or, for populations of animals containing both healthy and diseased individuals, as mixed</w:t>
      </w:r>
      <w:r w:rsidR="00F563A4">
        <w:rPr>
          <w:rFonts w:ascii="Times New Roman" w:hAnsi="Times New Roman" w:cs="Times New Roman"/>
          <w:sz w:val="22"/>
          <w:szCs w:val="22"/>
        </w:rPr>
        <w:t>.</w:t>
      </w:r>
    </w:p>
    <w:p w14:paraId="0C226104" w14:textId="77777777" w:rsidR="00CF43BB" w:rsidRDefault="00CF43BB" w:rsidP="00FC41B8">
      <w:pPr>
        <w:spacing w:line="276" w:lineRule="auto"/>
        <w:rPr>
          <w:rFonts w:ascii="Times New Roman" w:hAnsi="Times New Roman" w:cs="Times New Roman"/>
          <w:b/>
          <w:bCs/>
          <w:sz w:val="22"/>
          <w:szCs w:val="22"/>
        </w:rPr>
      </w:pPr>
    </w:p>
    <w:p w14:paraId="44BBA0D8" w14:textId="28C52FF3"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b/>
          <w:bCs/>
          <w:sz w:val="22"/>
          <w:szCs w:val="22"/>
        </w:rPr>
        <w:t xml:space="preserve">Method: </w:t>
      </w:r>
      <w:r w:rsidRPr="00376690">
        <w:rPr>
          <w:rFonts w:ascii="Times New Roman" w:hAnsi="Times New Roman" w:cs="Times New Roman"/>
          <w:i/>
          <w:iCs/>
          <w:sz w:val="22"/>
          <w:szCs w:val="22"/>
        </w:rPr>
        <w:t>Methodology used for anti</w:t>
      </w:r>
      <w:r w:rsidR="00061DE0">
        <w:rPr>
          <w:rFonts w:ascii="Times New Roman" w:hAnsi="Times New Roman" w:cs="Times New Roman"/>
          <w:i/>
          <w:iCs/>
          <w:sz w:val="22"/>
          <w:szCs w:val="22"/>
        </w:rPr>
        <w:t>microbial</w:t>
      </w:r>
      <w:r w:rsidRPr="00376690">
        <w:rPr>
          <w:rFonts w:ascii="Times New Roman" w:hAnsi="Times New Roman" w:cs="Times New Roman"/>
          <w:i/>
          <w:iCs/>
          <w:sz w:val="22"/>
          <w:szCs w:val="22"/>
        </w:rPr>
        <w:t xml:space="preserve"> susceptibility testing (AST) </w:t>
      </w:r>
    </w:p>
    <w:p w14:paraId="6D166126" w14:textId="76A95B5F"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sz w:val="22"/>
          <w:szCs w:val="22"/>
        </w:rPr>
        <w:t>Methods were recorded as either disk diffusion (DD), agar dilution (AD), broth dilution (BD), Etest or the name of the automat</w:t>
      </w:r>
      <w:r w:rsidR="00A5652D">
        <w:rPr>
          <w:rFonts w:ascii="Times New Roman" w:hAnsi="Times New Roman" w:cs="Times New Roman"/>
          <w:sz w:val="22"/>
          <w:szCs w:val="22"/>
        </w:rPr>
        <w:t>ed</w:t>
      </w:r>
      <w:r w:rsidRPr="00376690">
        <w:rPr>
          <w:rFonts w:ascii="Times New Roman" w:hAnsi="Times New Roman" w:cs="Times New Roman"/>
          <w:sz w:val="22"/>
          <w:szCs w:val="22"/>
        </w:rPr>
        <w:t xml:space="preserve"> system (e.g. VITEK). Disk diffusion method was assumed when PPS reported the potency of disks used for the AST. When more than one methodology was used, the acronyms of the methods are separated by a</w:t>
      </w:r>
      <w:r w:rsidR="00061DE0">
        <w:rPr>
          <w:rFonts w:ascii="Times New Roman" w:hAnsi="Times New Roman" w:cs="Times New Roman"/>
          <w:sz w:val="22"/>
          <w:szCs w:val="22"/>
        </w:rPr>
        <w:t>n underscore (“</w:t>
      </w:r>
      <w:r w:rsidR="00061DE0" w:rsidRPr="00376690">
        <w:rPr>
          <w:rFonts w:ascii="Times New Roman" w:hAnsi="Times New Roman" w:cs="Times New Roman"/>
          <w:sz w:val="22"/>
          <w:szCs w:val="22"/>
        </w:rPr>
        <w:t>_</w:t>
      </w:r>
      <w:r w:rsidR="00061DE0">
        <w:rPr>
          <w:rFonts w:ascii="Times New Roman" w:hAnsi="Times New Roman" w:cs="Times New Roman"/>
          <w:sz w:val="22"/>
          <w:szCs w:val="22"/>
        </w:rPr>
        <w:t>”)</w:t>
      </w:r>
      <w:r w:rsidRPr="00376690">
        <w:rPr>
          <w:rFonts w:ascii="Times New Roman" w:hAnsi="Times New Roman" w:cs="Times New Roman"/>
          <w:sz w:val="22"/>
          <w:szCs w:val="22"/>
        </w:rPr>
        <w:t xml:space="preserve">. </w:t>
      </w:r>
    </w:p>
    <w:p w14:paraId="670ED98B" w14:textId="77777777" w:rsidR="00A5652D" w:rsidRDefault="00A5652D" w:rsidP="00FC41B8">
      <w:pPr>
        <w:spacing w:line="276" w:lineRule="auto"/>
        <w:rPr>
          <w:rFonts w:ascii="Times New Roman" w:hAnsi="Times New Roman" w:cs="Times New Roman"/>
          <w:sz w:val="22"/>
          <w:szCs w:val="22"/>
        </w:rPr>
      </w:pPr>
    </w:p>
    <w:p w14:paraId="0E99D11D" w14:textId="6D6708C2"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sz w:val="22"/>
          <w:szCs w:val="22"/>
        </w:rPr>
        <w:t>For further applications</w:t>
      </w:r>
      <w:r w:rsidR="00A5652D">
        <w:rPr>
          <w:rFonts w:ascii="Times New Roman" w:hAnsi="Times New Roman" w:cs="Times New Roman"/>
          <w:sz w:val="22"/>
          <w:szCs w:val="22"/>
        </w:rPr>
        <w:t xml:space="preserve"> of the database</w:t>
      </w:r>
      <w:r w:rsidRPr="00376690">
        <w:rPr>
          <w:rFonts w:ascii="Times New Roman" w:hAnsi="Times New Roman" w:cs="Times New Roman"/>
          <w:sz w:val="22"/>
          <w:szCs w:val="22"/>
        </w:rPr>
        <w:t xml:space="preserve">, PPS performing molecular typing or population structure analysis were also recorded. For simplicity, </w:t>
      </w:r>
      <w:r w:rsidR="00061DE0">
        <w:rPr>
          <w:rFonts w:ascii="Times New Roman" w:hAnsi="Times New Roman" w:cs="Times New Roman"/>
          <w:sz w:val="22"/>
          <w:szCs w:val="22"/>
        </w:rPr>
        <w:t>“</w:t>
      </w:r>
      <w:r w:rsidRPr="00376690">
        <w:rPr>
          <w:rFonts w:ascii="Times New Roman" w:hAnsi="Times New Roman" w:cs="Times New Roman"/>
          <w:sz w:val="22"/>
          <w:szCs w:val="22"/>
        </w:rPr>
        <w:t>_PCR</w:t>
      </w:r>
      <w:r w:rsidR="00061DE0">
        <w:rPr>
          <w:rFonts w:ascii="Times New Roman" w:hAnsi="Times New Roman" w:cs="Times New Roman"/>
          <w:sz w:val="22"/>
          <w:szCs w:val="22"/>
        </w:rPr>
        <w:t>”</w:t>
      </w:r>
      <w:r w:rsidRPr="00376690">
        <w:rPr>
          <w:rFonts w:ascii="Times New Roman" w:hAnsi="Times New Roman" w:cs="Times New Roman"/>
          <w:sz w:val="22"/>
          <w:szCs w:val="22"/>
        </w:rPr>
        <w:t xml:space="preserve"> (Polymerase Chain Reaction) was added to all studies performing molecular typing (e.g., detection of antibiotic resistance genes, virulence determinants, mobile genetic elements and MLST) or fingerprinting methods (e.g. PFGE). For PPS reporting whole genome sequencing data, a </w:t>
      </w:r>
      <w:r w:rsidR="00061DE0">
        <w:rPr>
          <w:rFonts w:ascii="Times New Roman" w:hAnsi="Times New Roman" w:cs="Times New Roman"/>
          <w:sz w:val="22"/>
          <w:szCs w:val="22"/>
        </w:rPr>
        <w:t>“</w:t>
      </w:r>
      <w:r w:rsidRPr="00376690">
        <w:rPr>
          <w:rFonts w:ascii="Times New Roman" w:hAnsi="Times New Roman" w:cs="Times New Roman"/>
          <w:sz w:val="22"/>
          <w:szCs w:val="22"/>
        </w:rPr>
        <w:t>_WGS</w:t>
      </w:r>
      <w:r w:rsidR="00061DE0">
        <w:rPr>
          <w:rFonts w:ascii="Times New Roman" w:hAnsi="Times New Roman" w:cs="Times New Roman"/>
          <w:sz w:val="22"/>
          <w:szCs w:val="22"/>
        </w:rPr>
        <w:t>”</w:t>
      </w:r>
      <w:r w:rsidRPr="00376690">
        <w:rPr>
          <w:rFonts w:ascii="Times New Roman" w:hAnsi="Times New Roman" w:cs="Times New Roman"/>
          <w:sz w:val="22"/>
          <w:szCs w:val="22"/>
        </w:rPr>
        <w:t xml:space="preserve"> was added. </w:t>
      </w:r>
    </w:p>
    <w:p w14:paraId="4248BAE6" w14:textId="77777777" w:rsidR="00A5652D" w:rsidRDefault="00A5652D" w:rsidP="00FC41B8">
      <w:pPr>
        <w:spacing w:line="276" w:lineRule="auto"/>
        <w:rPr>
          <w:rFonts w:ascii="Times New Roman" w:hAnsi="Times New Roman" w:cs="Times New Roman"/>
          <w:sz w:val="22"/>
          <w:szCs w:val="22"/>
        </w:rPr>
      </w:pPr>
    </w:p>
    <w:p w14:paraId="3DF80500" w14:textId="27F323BD"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sz w:val="22"/>
          <w:szCs w:val="22"/>
        </w:rPr>
        <w:t xml:space="preserve">There are several AST possibilities but they can be grouped into </w:t>
      </w:r>
      <w:r w:rsidR="00F076AB">
        <w:rPr>
          <w:rFonts w:ascii="Times New Roman" w:hAnsi="Times New Roman" w:cs="Times New Roman"/>
          <w:sz w:val="22"/>
          <w:szCs w:val="22"/>
        </w:rPr>
        <w:t>d</w:t>
      </w:r>
      <w:r w:rsidRPr="00376690">
        <w:rPr>
          <w:rFonts w:ascii="Times New Roman" w:hAnsi="Times New Roman" w:cs="Times New Roman"/>
          <w:sz w:val="22"/>
          <w:szCs w:val="22"/>
        </w:rPr>
        <w:t xml:space="preserve">iffusion or </w:t>
      </w:r>
      <w:r w:rsidR="00F076AB">
        <w:rPr>
          <w:rFonts w:ascii="Times New Roman" w:hAnsi="Times New Roman" w:cs="Times New Roman"/>
          <w:sz w:val="22"/>
          <w:szCs w:val="22"/>
        </w:rPr>
        <w:t>d</w:t>
      </w:r>
      <w:r w:rsidRPr="00376690">
        <w:rPr>
          <w:rFonts w:ascii="Times New Roman" w:hAnsi="Times New Roman" w:cs="Times New Roman"/>
          <w:sz w:val="22"/>
          <w:szCs w:val="22"/>
        </w:rPr>
        <w:t xml:space="preserve">ilution methods. Guidelines for performing these tests are given by different societies and/or organizations (CLSI, EUCAST, French Society for Microbiology – SFM). Note: antibiotic concentrations are normally expressed in μg/mL and in μg for the disk content alone. </w:t>
      </w:r>
    </w:p>
    <w:p w14:paraId="3291827C" w14:textId="77777777" w:rsidR="00CF43BB" w:rsidRDefault="00CF43BB" w:rsidP="00FC41B8">
      <w:pPr>
        <w:spacing w:line="276" w:lineRule="auto"/>
        <w:rPr>
          <w:rFonts w:ascii="Times New Roman" w:hAnsi="Times New Roman" w:cs="Times New Roman"/>
          <w:b/>
          <w:bCs/>
          <w:sz w:val="22"/>
          <w:szCs w:val="22"/>
        </w:rPr>
      </w:pPr>
    </w:p>
    <w:p w14:paraId="6EE4A511" w14:textId="75441D8E"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b/>
          <w:bCs/>
          <w:sz w:val="22"/>
          <w:szCs w:val="22"/>
        </w:rPr>
        <w:t xml:space="preserve">Pathogen: </w:t>
      </w:r>
      <w:r w:rsidRPr="00376690">
        <w:rPr>
          <w:rFonts w:ascii="Times New Roman" w:hAnsi="Times New Roman" w:cs="Times New Roman"/>
          <w:i/>
          <w:iCs/>
          <w:sz w:val="22"/>
          <w:szCs w:val="22"/>
        </w:rPr>
        <w:t xml:space="preserve">Bacterial </w:t>
      </w:r>
      <w:r w:rsidR="009D5574">
        <w:rPr>
          <w:rFonts w:ascii="Times New Roman" w:hAnsi="Times New Roman" w:cs="Times New Roman"/>
          <w:i/>
          <w:iCs/>
          <w:sz w:val="22"/>
          <w:szCs w:val="22"/>
        </w:rPr>
        <w:t>genera</w:t>
      </w:r>
      <w:r w:rsidRPr="00376690">
        <w:rPr>
          <w:rFonts w:ascii="Times New Roman" w:hAnsi="Times New Roman" w:cs="Times New Roman"/>
          <w:i/>
          <w:iCs/>
          <w:sz w:val="22"/>
          <w:szCs w:val="22"/>
        </w:rPr>
        <w:t xml:space="preserve"> targeted for the study </w:t>
      </w:r>
    </w:p>
    <w:p w14:paraId="549D75BC" w14:textId="276FDB4F" w:rsidR="00FC41B8" w:rsidRPr="009D5574" w:rsidRDefault="009D5574" w:rsidP="00FC41B8">
      <w:pPr>
        <w:spacing w:line="276" w:lineRule="auto"/>
        <w:rPr>
          <w:rFonts w:ascii="Times New Roman" w:hAnsi="Times New Roman" w:cs="Times New Roman"/>
          <w:sz w:val="22"/>
          <w:szCs w:val="22"/>
        </w:rPr>
      </w:pPr>
      <w:r>
        <w:rPr>
          <w:rFonts w:ascii="Times New Roman" w:hAnsi="Times New Roman" w:cs="Times New Roman"/>
          <w:sz w:val="22"/>
          <w:szCs w:val="22"/>
        </w:rPr>
        <w:lastRenderedPageBreak/>
        <w:t>These were defined according to the review criteria as pathogens of production significance and/or bacteria of zoonotic potential. Forty-five bacterial genera were included in the database (</w:t>
      </w:r>
      <w:r w:rsidR="00331967">
        <w:rPr>
          <w:rFonts w:ascii="Times New Roman" w:hAnsi="Times New Roman" w:cs="Times New Roman"/>
          <w:sz w:val="22"/>
          <w:szCs w:val="22"/>
        </w:rPr>
        <w:t>S</w:t>
      </w:r>
      <w:r>
        <w:rPr>
          <w:rFonts w:ascii="Times New Roman" w:hAnsi="Times New Roman" w:cs="Times New Roman"/>
          <w:sz w:val="22"/>
          <w:szCs w:val="22"/>
        </w:rPr>
        <w:t xml:space="preserve">upplementary </w:t>
      </w:r>
      <w:r w:rsidR="00331967">
        <w:rPr>
          <w:rFonts w:ascii="Times New Roman" w:hAnsi="Times New Roman" w:cs="Times New Roman"/>
          <w:sz w:val="22"/>
          <w:szCs w:val="22"/>
        </w:rPr>
        <w:t>information</w:t>
      </w:r>
      <w:r>
        <w:rPr>
          <w:rFonts w:ascii="Times New Roman" w:hAnsi="Times New Roman" w:cs="Times New Roman"/>
          <w:sz w:val="22"/>
          <w:szCs w:val="22"/>
        </w:rPr>
        <w:t>).</w:t>
      </w:r>
    </w:p>
    <w:p w14:paraId="3C721D4E" w14:textId="77777777" w:rsidR="00CF43BB" w:rsidRDefault="00CF43BB" w:rsidP="00FC41B8">
      <w:pPr>
        <w:spacing w:line="276" w:lineRule="auto"/>
        <w:rPr>
          <w:rFonts w:ascii="Times New Roman" w:hAnsi="Times New Roman" w:cs="Times New Roman"/>
          <w:b/>
          <w:bCs/>
          <w:sz w:val="22"/>
          <w:szCs w:val="22"/>
        </w:rPr>
      </w:pPr>
    </w:p>
    <w:p w14:paraId="37BA912D" w14:textId="2CEE16A8"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b/>
          <w:bCs/>
          <w:sz w:val="22"/>
          <w:szCs w:val="22"/>
        </w:rPr>
        <w:t xml:space="preserve">Strain: </w:t>
      </w:r>
      <w:r w:rsidRPr="00376690">
        <w:rPr>
          <w:rFonts w:ascii="Times New Roman" w:hAnsi="Times New Roman" w:cs="Times New Roman"/>
          <w:i/>
          <w:iCs/>
          <w:sz w:val="22"/>
          <w:szCs w:val="22"/>
        </w:rPr>
        <w:t xml:space="preserve">Bacterial </w:t>
      </w:r>
      <w:r w:rsidR="009D5574">
        <w:rPr>
          <w:rFonts w:ascii="Times New Roman" w:hAnsi="Times New Roman" w:cs="Times New Roman"/>
          <w:i/>
          <w:iCs/>
          <w:sz w:val="22"/>
          <w:szCs w:val="22"/>
        </w:rPr>
        <w:t xml:space="preserve">species or </w:t>
      </w:r>
      <w:r w:rsidRPr="00376690">
        <w:rPr>
          <w:rFonts w:ascii="Times New Roman" w:hAnsi="Times New Roman" w:cs="Times New Roman"/>
          <w:i/>
          <w:iCs/>
          <w:sz w:val="22"/>
          <w:szCs w:val="22"/>
        </w:rPr>
        <w:t xml:space="preserve">subtype </w:t>
      </w:r>
    </w:p>
    <w:p w14:paraId="0805EBB5" w14:textId="1AE9A289" w:rsidR="00FC41B8" w:rsidRPr="00376690" w:rsidRDefault="00B77B98" w:rsidP="00FC41B8">
      <w:pPr>
        <w:spacing w:line="276" w:lineRule="auto"/>
        <w:rPr>
          <w:rFonts w:ascii="Times New Roman" w:hAnsi="Times New Roman" w:cs="Times New Roman"/>
          <w:sz w:val="22"/>
          <w:szCs w:val="22"/>
        </w:rPr>
      </w:pPr>
      <w:r>
        <w:rPr>
          <w:rFonts w:ascii="Times New Roman" w:hAnsi="Times New Roman" w:cs="Times New Roman"/>
          <w:sz w:val="22"/>
          <w:szCs w:val="22"/>
        </w:rPr>
        <w:t>The species of focus for the study when presented in the publication</w:t>
      </w:r>
      <w:r w:rsidR="00FC41B8" w:rsidRPr="00376690">
        <w:rPr>
          <w:rFonts w:ascii="Times New Roman" w:hAnsi="Times New Roman" w:cs="Times New Roman"/>
          <w:sz w:val="22"/>
          <w:szCs w:val="22"/>
        </w:rPr>
        <w:t>. If there was no specification, NA is introduced.</w:t>
      </w:r>
      <w:r>
        <w:rPr>
          <w:rFonts w:ascii="Times New Roman" w:hAnsi="Times New Roman" w:cs="Times New Roman"/>
          <w:sz w:val="22"/>
          <w:szCs w:val="22"/>
        </w:rPr>
        <w:t xml:space="preserve"> When multiple species were included and could not be disaggregated, each species is recorded in the strain column and the corresponding details of the study are reported for the entire group.</w:t>
      </w:r>
    </w:p>
    <w:p w14:paraId="4618E6EA" w14:textId="77777777" w:rsidR="00B77B98" w:rsidRDefault="00B77B98" w:rsidP="00FC41B8">
      <w:pPr>
        <w:spacing w:line="276" w:lineRule="auto"/>
        <w:rPr>
          <w:rFonts w:ascii="Times New Roman" w:hAnsi="Times New Roman" w:cs="Times New Roman"/>
          <w:sz w:val="22"/>
          <w:szCs w:val="22"/>
        </w:rPr>
      </w:pPr>
    </w:p>
    <w:p w14:paraId="66303274" w14:textId="1C96AA93" w:rsidR="00FC41B8" w:rsidRPr="00B77B98" w:rsidRDefault="00FC41B8" w:rsidP="00FC41B8">
      <w:pPr>
        <w:spacing w:line="276" w:lineRule="auto"/>
        <w:rPr>
          <w:rFonts w:ascii="Times New Roman" w:hAnsi="Times New Roman" w:cs="Times New Roman"/>
          <w:i/>
          <w:iCs/>
          <w:sz w:val="22"/>
          <w:szCs w:val="22"/>
        </w:rPr>
      </w:pPr>
      <w:r w:rsidRPr="00376690">
        <w:rPr>
          <w:rFonts w:ascii="Times New Roman" w:hAnsi="Times New Roman" w:cs="Times New Roman"/>
          <w:sz w:val="22"/>
          <w:szCs w:val="22"/>
        </w:rPr>
        <w:t>For PPS reporting on</w:t>
      </w:r>
      <w:r w:rsidR="00B77B98">
        <w:rPr>
          <w:rFonts w:ascii="Times New Roman" w:hAnsi="Times New Roman" w:cs="Times New Roman"/>
          <w:sz w:val="22"/>
          <w:szCs w:val="22"/>
        </w:rPr>
        <w:t xml:space="preserve"> a</w:t>
      </w:r>
      <w:r w:rsidRPr="00376690">
        <w:rPr>
          <w:rFonts w:ascii="Times New Roman" w:hAnsi="Times New Roman" w:cs="Times New Roman"/>
          <w:sz w:val="22"/>
          <w:szCs w:val="22"/>
        </w:rPr>
        <w:t xml:space="preserve"> single-species, the designation is included in the strain column (e.g., a study focusing only on </w:t>
      </w:r>
      <w:r w:rsidR="00B77B98">
        <w:rPr>
          <w:rFonts w:ascii="Times New Roman" w:hAnsi="Times New Roman" w:cs="Times New Roman"/>
          <w:i/>
          <w:iCs/>
          <w:sz w:val="22"/>
          <w:szCs w:val="22"/>
        </w:rPr>
        <w:t>Vibrio</w:t>
      </w:r>
      <w:r w:rsidRPr="00376690">
        <w:rPr>
          <w:rFonts w:ascii="Times New Roman" w:hAnsi="Times New Roman" w:cs="Times New Roman"/>
          <w:i/>
          <w:iCs/>
          <w:sz w:val="22"/>
          <w:szCs w:val="22"/>
        </w:rPr>
        <w:t xml:space="preserve"> </w:t>
      </w:r>
      <w:r w:rsidR="00B77B98" w:rsidRPr="00B77B98">
        <w:rPr>
          <w:rFonts w:ascii="Times New Roman" w:hAnsi="Times New Roman" w:cs="Times New Roman"/>
          <w:i/>
          <w:iCs/>
          <w:sz w:val="22"/>
          <w:szCs w:val="22"/>
        </w:rPr>
        <w:t>parahaemolyticus</w:t>
      </w:r>
      <w:r w:rsidR="00F076AB">
        <w:rPr>
          <w:rFonts w:ascii="Times New Roman" w:hAnsi="Times New Roman" w:cs="Times New Roman"/>
          <w:sz w:val="22"/>
          <w:szCs w:val="22"/>
        </w:rPr>
        <w:t xml:space="preserve"> would list “</w:t>
      </w:r>
      <w:r w:rsidR="00F076AB" w:rsidRPr="00B77B98">
        <w:rPr>
          <w:rFonts w:ascii="Times New Roman" w:hAnsi="Times New Roman" w:cs="Times New Roman"/>
          <w:i/>
          <w:iCs/>
          <w:sz w:val="22"/>
          <w:szCs w:val="22"/>
        </w:rPr>
        <w:t>parahaemolyticus</w:t>
      </w:r>
      <w:r w:rsidR="00F076AB">
        <w:rPr>
          <w:rFonts w:ascii="Times New Roman" w:hAnsi="Times New Roman" w:cs="Times New Roman"/>
          <w:sz w:val="22"/>
          <w:szCs w:val="22"/>
        </w:rPr>
        <w:t>” in the strain column</w:t>
      </w:r>
      <w:r w:rsidRPr="00376690">
        <w:rPr>
          <w:rFonts w:ascii="Times New Roman" w:hAnsi="Times New Roman" w:cs="Times New Roman"/>
          <w:sz w:val="22"/>
          <w:szCs w:val="22"/>
        </w:rPr>
        <w:t>)</w:t>
      </w:r>
      <w:r w:rsidRPr="00376690">
        <w:rPr>
          <w:rFonts w:ascii="Times New Roman" w:hAnsi="Times New Roman" w:cs="Times New Roman"/>
          <w:i/>
          <w:iCs/>
          <w:sz w:val="22"/>
          <w:szCs w:val="22"/>
        </w:rPr>
        <w:t xml:space="preserve">. </w:t>
      </w:r>
    </w:p>
    <w:p w14:paraId="620C72B7" w14:textId="3497991C"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sz w:val="22"/>
          <w:szCs w:val="22"/>
        </w:rPr>
        <w:t xml:space="preserve">For PPS reporting on </w:t>
      </w:r>
      <w:r w:rsidRPr="00376690">
        <w:rPr>
          <w:rFonts w:ascii="Times New Roman" w:hAnsi="Times New Roman" w:cs="Times New Roman"/>
          <w:i/>
          <w:iCs/>
          <w:sz w:val="22"/>
          <w:szCs w:val="22"/>
        </w:rPr>
        <w:t xml:space="preserve">Salmonella </w:t>
      </w:r>
      <w:r w:rsidRPr="00376690">
        <w:rPr>
          <w:rFonts w:ascii="Times New Roman" w:hAnsi="Times New Roman" w:cs="Times New Roman"/>
          <w:sz w:val="22"/>
          <w:szCs w:val="22"/>
        </w:rPr>
        <w:t xml:space="preserve">spp., the serotype was reported in the strain column. </w:t>
      </w:r>
    </w:p>
    <w:p w14:paraId="1299C9E0" w14:textId="642E9455"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sz w:val="22"/>
          <w:szCs w:val="22"/>
        </w:rPr>
        <w:t xml:space="preserve">For PPS reporting on </w:t>
      </w:r>
      <w:r w:rsidRPr="00376690">
        <w:rPr>
          <w:rFonts w:ascii="Times New Roman" w:hAnsi="Times New Roman" w:cs="Times New Roman"/>
          <w:i/>
          <w:iCs/>
          <w:sz w:val="22"/>
          <w:szCs w:val="22"/>
        </w:rPr>
        <w:t xml:space="preserve">E. coli </w:t>
      </w:r>
      <w:r w:rsidRPr="00376690">
        <w:rPr>
          <w:rFonts w:ascii="Times New Roman" w:hAnsi="Times New Roman" w:cs="Times New Roman"/>
          <w:sz w:val="22"/>
          <w:szCs w:val="22"/>
        </w:rPr>
        <w:t xml:space="preserve">pathotypes and/or serotypes characterized, </w:t>
      </w:r>
      <w:r w:rsidR="00F076AB">
        <w:rPr>
          <w:rFonts w:ascii="Times New Roman" w:hAnsi="Times New Roman" w:cs="Times New Roman"/>
          <w:sz w:val="22"/>
          <w:szCs w:val="22"/>
        </w:rPr>
        <w:t>these pathotypes and/or serotypes</w:t>
      </w:r>
      <w:r w:rsidRPr="00376690">
        <w:rPr>
          <w:rFonts w:ascii="Times New Roman" w:hAnsi="Times New Roman" w:cs="Times New Roman"/>
          <w:sz w:val="22"/>
          <w:szCs w:val="22"/>
        </w:rPr>
        <w:t xml:space="preserve"> </w:t>
      </w:r>
      <w:r w:rsidR="007C0A9A">
        <w:rPr>
          <w:rFonts w:ascii="Times New Roman" w:hAnsi="Times New Roman" w:cs="Times New Roman"/>
          <w:sz w:val="22"/>
          <w:szCs w:val="22"/>
        </w:rPr>
        <w:t>were reported</w:t>
      </w:r>
      <w:r w:rsidRPr="00376690">
        <w:rPr>
          <w:rFonts w:ascii="Times New Roman" w:hAnsi="Times New Roman" w:cs="Times New Roman"/>
          <w:sz w:val="22"/>
          <w:szCs w:val="22"/>
        </w:rPr>
        <w:t xml:space="preserve"> into the strain column (e.g., STEC, O157, ExPEC, etc). </w:t>
      </w:r>
    </w:p>
    <w:p w14:paraId="30E23F5D" w14:textId="2F7EC261"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sz w:val="22"/>
          <w:szCs w:val="22"/>
        </w:rPr>
        <w:t xml:space="preserve">For studies on the characterization of bacteria carrying specific genetic traits such as antibiotic resistance genes or virulence determinants, these are specified in the strain column. </w:t>
      </w:r>
    </w:p>
    <w:p w14:paraId="72A593F8" w14:textId="77777777" w:rsidR="00FC41B8" w:rsidRPr="00376690" w:rsidRDefault="00FC41B8" w:rsidP="00FC41B8">
      <w:pPr>
        <w:spacing w:line="276" w:lineRule="auto"/>
        <w:rPr>
          <w:rFonts w:ascii="Times New Roman" w:hAnsi="Times New Roman" w:cs="Times New Roman"/>
          <w:sz w:val="22"/>
          <w:szCs w:val="22"/>
        </w:rPr>
      </w:pPr>
    </w:p>
    <w:p w14:paraId="552A9258" w14:textId="6475BB35"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b/>
          <w:bCs/>
          <w:sz w:val="22"/>
          <w:szCs w:val="22"/>
        </w:rPr>
        <w:t xml:space="preserve">Nsamples: </w:t>
      </w:r>
      <w:r w:rsidRPr="00376690">
        <w:rPr>
          <w:rFonts w:ascii="Times New Roman" w:hAnsi="Times New Roman" w:cs="Times New Roman"/>
          <w:i/>
          <w:iCs/>
          <w:sz w:val="22"/>
          <w:szCs w:val="22"/>
        </w:rPr>
        <w:t>Number of samples collected</w:t>
      </w:r>
    </w:p>
    <w:p w14:paraId="5D3D208B" w14:textId="5446AAEC"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sz w:val="22"/>
          <w:szCs w:val="22"/>
        </w:rPr>
        <w:t>The total number of samples</w:t>
      </w:r>
      <w:r w:rsidR="00F40186">
        <w:rPr>
          <w:rFonts w:ascii="Times New Roman" w:hAnsi="Times New Roman" w:cs="Times New Roman"/>
          <w:sz w:val="22"/>
          <w:szCs w:val="22"/>
        </w:rPr>
        <w:t xml:space="preserve"> obtained</w:t>
      </w:r>
      <w:r w:rsidRPr="00376690">
        <w:rPr>
          <w:rFonts w:ascii="Times New Roman" w:hAnsi="Times New Roman" w:cs="Times New Roman"/>
          <w:sz w:val="22"/>
          <w:szCs w:val="22"/>
        </w:rPr>
        <w:t xml:space="preserve"> at the different sampling sites. </w:t>
      </w:r>
    </w:p>
    <w:p w14:paraId="6EC65F2A" w14:textId="77777777" w:rsidR="00CF43BB" w:rsidRDefault="00CF43BB" w:rsidP="00FC41B8">
      <w:pPr>
        <w:spacing w:line="276" w:lineRule="auto"/>
        <w:rPr>
          <w:rFonts w:ascii="Times New Roman" w:hAnsi="Times New Roman" w:cs="Times New Roman"/>
          <w:b/>
          <w:bCs/>
          <w:sz w:val="22"/>
          <w:szCs w:val="22"/>
        </w:rPr>
      </w:pPr>
    </w:p>
    <w:p w14:paraId="2F9C3ED1" w14:textId="131FC973"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b/>
          <w:bCs/>
          <w:sz w:val="22"/>
          <w:szCs w:val="22"/>
        </w:rPr>
        <w:t xml:space="preserve">Prev: </w:t>
      </w:r>
      <w:r w:rsidRPr="00376690">
        <w:rPr>
          <w:rFonts w:ascii="Times New Roman" w:hAnsi="Times New Roman" w:cs="Times New Roman"/>
          <w:i/>
          <w:iCs/>
          <w:sz w:val="22"/>
          <w:szCs w:val="22"/>
        </w:rPr>
        <w:t>Number of samples positive for a pathogen divided by the total number of samples collected</w:t>
      </w:r>
    </w:p>
    <w:p w14:paraId="1822991E" w14:textId="35D476D5"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sz w:val="22"/>
          <w:szCs w:val="22"/>
        </w:rPr>
        <w:t>In the absence of bacteria, Prev</w:t>
      </w:r>
      <w:r w:rsidR="007C0A9A">
        <w:rPr>
          <w:rFonts w:ascii="Times New Roman" w:hAnsi="Times New Roman" w:cs="Times New Roman"/>
          <w:sz w:val="22"/>
          <w:szCs w:val="22"/>
        </w:rPr>
        <w:t xml:space="preserve">alence </w:t>
      </w:r>
      <w:r w:rsidRPr="00376690">
        <w:rPr>
          <w:rFonts w:ascii="Times New Roman" w:hAnsi="Times New Roman" w:cs="Times New Roman"/>
          <w:sz w:val="22"/>
          <w:szCs w:val="22"/>
        </w:rPr>
        <w:t>%</w:t>
      </w:r>
      <w:r w:rsidR="007C0A9A">
        <w:rPr>
          <w:rFonts w:ascii="Times New Roman" w:hAnsi="Times New Roman" w:cs="Times New Roman"/>
          <w:sz w:val="22"/>
          <w:szCs w:val="22"/>
        </w:rPr>
        <w:t xml:space="preserve"> </w:t>
      </w:r>
      <w:r w:rsidRPr="00376690">
        <w:rPr>
          <w:rFonts w:ascii="Times New Roman" w:hAnsi="Times New Roman" w:cs="Times New Roman"/>
          <w:sz w:val="22"/>
          <w:szCs w:val="22"/>
        </w:rPr>
        <w:t>=</w:t>
      </w:r>
      <w:r w:rsidR="007C0A9A">
        <w:rPr>
          <w:rFonts w:ascii="Times New Roman" w:hAnsi="Times New Roman" w:cs="Times New Roman"/>
          <w:sz w:val="22"/>
          <w:szCs w:val="22"/>
        </w:rPr>
        <w:t xml:space="preserve"> </w:t>
      </w:r>
      <w:r w:rsidRPr="00376690">
        <w:rPr>
          <w:rFonts w:ascii="Times New Roman" w:hAnsi="Times New Roman" w:cs="Times New Roman"/>
          <w:sz w:val="22"/>
          <w:szCs w:val="22"/>
        </w:rPr>
        <w:t xml:space="preserve">0. The value is expressed in percentage and rounded to </w:t>
      </w:r>
      <w:r w:rsidR="00F40186">
        <w:rPr>
          <w:rFonts w:ascii="Times New Roman" w:hAnsi="Times New Roman" w:cs="Times New Roman"/>
          <w:sz w:val="22"/>
          <w:szCs w:val="22"/>
        </w:rPr>
        <w:t>the nearest whole number.</w:t>
      </w:r>
      <w:r w:rsidRPr="00376690">
        <w:rPr>
          <w:rFonts w:ascii="Times New Roman" w:hAnsi="Times New Roman" w:cs="Times New Roman"/>
          <w:sz w:val="22"/>
          <w:szCs w:val="22"/>
        </w:rPr>
        <w:t xml:space="preserve"> </w:t>
      </w:r>
    </w:p>
    <w:p w14:paraId="1BBF123F" w14:textId="77777777" w:rsidR="00CF43BB" w:rsidRDefault="00CF43BB" w:rsidP="00FC41B8">
      <w:pPr>
        <w:spacing w:line="276" w:lineRule="auto"/>
        <w:rPr>
          <w:rFonts w:ascii="Times New Roman" w:hAnsi="Times New Roman" w:cs="Times New Roman"/>
          <w:b/>
          <w:bCs/>
          <w:sz w:val="22"/>
          <w:szCs w:val="22"/>
        </w:rPr>
      </w:pPr>
    </w:p>
    <w:p w14:paraId="0258C86D" w14:textId="52F07580"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b/>
          <w:bCs/>
          <w:sz w:val="22"/>
          <w:szCs w:val="22"/>
        </w:rPr>
        <w:t>N</w:t>
      </w:r>
      <w:r w:rsidR="00F40186">
        <w:rPr>
          <w:rFonts w:ascii="Times New Roman" w:hAnsi="Times New Roman" w:cs="Times New Roman"/>
          <w:b/>
          <w:bCs/>
          <w:sz w:val="22"/>
          <w:szCs w:val="22"/>
        </w:rPr>
        <w:t>I</w:t>
      </w:r>
      <w:r w:rsidRPr="00376690">
        <w:rPr>
          <w:rFonts w:ascii="Times New Roman" w:hAnsi="Times New Roman" w:cs="Times New Roman"/>
          <w:b/>
          <w:bCs/>
          <w:sz w:val="22"/>
          <w:szCs w:val="22"/>
        </w:rPr>
        <w:t xml:space="preserve">solates: </w:t>
      </w:r>
      <w:r w:rsidRPr="00376690">
        <w:rPr>
          <w:rFonts w:ascii="Times New Roman" w:hAnsi="Times New Roman" w:cs="Times New Roman"/>
          <w:i/>
          <w:iCs/>
          <w:sz w:val="22"/>
          <w:szCs w:val="22"/>
        </w:rPr>
        <w:t xml:space="preserve">Number of isolates </w:t>
      </w:r>
    </w:p>
    <w:p w14:paraId="230DBDBD" w14:textId="77777777"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sz w:val="22"/>
          <w:szCs w:val="22"/>
        </w:rPr>
        <w:t xml:space="preserve">The total number of isolates used for AST. Normally this is equal to the number of positive samples (prevalence). Increased numbers in comparison to the samples can be due to recovery of more than one bacterium per sample, whereas lower numbers can be attributed to the use of a representative subset or loss of bacterial viability. </w:t>
      </w:r>
    </w:p>
    <w:p w14:paraId="0508FDBA" w14:textId="77777777" w:rsidR="00CF43BB" w:rsidRDefault="00CF43BB" w:rsidP="00FC41B8">
      <w:pPr>
        <w:spacing w:line="276" w:lineRule="auto"/>
        <w:rPr>
          <w:rFonts w:ascii="Times New Roman" w:hAnsi="Times New Roman" w:cs="Times New Roman"/>
          <w:b/>
          <w:bCs/>
          <w:sz w:val="22"/>
          <w:szCs w:val="22"/>
        </w:rPr>
      </w:pPr>
    </w:p>
    <w:p w14:paraId="6134C1B8" w14:textId="46C2CB1E"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b/>
          <w:bCs/>
          <w:sz w:val="22"/>
          <w:szCs w:val="22"/>
        </w:rPr>
        <w:t xml:space="preserve">Drug: </w:t>
      </w:r>
      <w:r w:rsidRPr="00376690">
        <w:rPr>
          <w:rFonts w:ascii="Times New Roman" w:hAnsi="Times New Roman" w:cs="Times New Roman"/>
          <w:i/>
          <w:iCs/>
          <w:sz w:val="22"/>
          <w:szCs w:val="22"/>
        </w:rPr>
        <w:t xml:space="preserve">Antibiotic Class </w:t>
      </w:r>
    </w:p>
    <w:p w14:paraId="3FF89A51" w14:textId="69401CD2"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sz w:val="22"/>
          <w:szCs w:val="22"/>
        </w:rPr>
        <w:t xml:space="preserve">The following broad antibiotic classes were included in </w:t>
      </w:r>
      <w:r w:rsidR="007C3D9D">
        <w:rPr>
          <w:rFonts w:ascii="Times New Roman" w:hAnsi="Times New Roman" w:cs="Times New Roman"/>
          <w:sz w:val="22"/>
          <w:szCs w:val="22"/>
        </w:rPr>
        <w:t>the database</w:t>
      </w:r>
      <w:r w:rsidRPr="00376690">
        <w:rPr>
          <w:rFonts w:ascii="Times New Roman" w:hAnsi="Times New Roman" w:cs="Times New Roman"/>
          <w:sz w:val="22"/>
          <w:szCs w:val="22"/>
        </w:rPr>
        <w:t xml:space="preserve">: PEN (Penicillins), CEP (Cephalosporins), MON (Monobactams), CAR (Carbapenems), AMI (Aminoglycosides), QUI (Quinolones), AMP (Amphenicols), TET (Tetracyclines), SUL (Sulfonamides), MAC (Macrolides), </w:t>
      </w:r>
      <w:r w:rsidR="007C0A9A" w:rsidRPr="00376690">
        <w:rPr>
          <w:rFonts w:ascii="Times New Roman" w:hAnsi="Times New Roman" w:cs="Times New Roman"/>
          <w:sz w:val="22"/>
          <w:szCs w:val="22"/>
        </w:rPr>
        <w:t>GLY</w:t>
      </w:r>
      <w:r w:rsidR="007C0A9A">
        <w:rPr>
          <w:rFonts w:ascii="Times New Roman" w:hAnsi="Times New Roman" w:cs="Times New Roman"/>
          <w:sz w:val="22"/>
          <w:szCs w:val="22"/>
        </w:rPr>
        <w:t xml:space="preserve"> (</w:t>
      </w:r>
      <w:r w:rsidRPr="00376690">
        <w:rPr>
          <w:rFonts w:ascii="Times New Roman" w:hAnsi="Times New Roman" w:cs="Times New Roman"/>
          <w:sz w:val="22"/>
          <w:szCs w:val="22"/>
        </w:rPr>
        <w:t>Glycopeptides</w:t>
      </w:r>
      <w:r w:rsidR="007C0A9A">
        <w:rPr>
          <w:rFonts w:ascii="Times New Roman" w:hAnsi="Times New Roman" w:cs="Times New Roman"/>
          <w:sz w:val="22"/>
          <w:szCs w:val="22"/>
        </w:rPr>
        <w:t>)</w:t>
      </w:r>
      <w:r w:rsidRPr="00376690">
        <w:rPr>
          <w:rFonts w:ascii="Times New Roman" w:hAnsi="Times New Roman" w:cs="Times New Roman"/>
          <w:sz w:val="22"/>
          <w:szCs w:val="22"/>
        </w:rPr>
        <w:t xml:space="preserve">, POL (Polymixins), </w:t>
      </w:r>
      <w:r w:rsidR="00AC1B96">
        <w:rPr>
          <w:rFonts w:ascii="Times New Roman" w:hAnsi="Times New Roman" w:cs="Times New Roman"/>
          <w:sz w:val="22"/>
          <w:szCs w:val="22"/>
        </w:rPr>
        <w:t xml:space="preserve">and </w:t>
      </w:r>
      <w:r w:rsidRPr="00376690">
        <w:rPr>
          <w:rFonts w:ascii="Times New Roman" w:hAnsi="Times New Roman" w:cs="Times New Roman"/>
          <w:sz w:val="22"/>
          <w:szCs w:val="22"/>
        </w:rPr>
        <w:t xml:space="preserve">OTH (Others). </w:t>
      </w:r>
    </w:p>
    <w:p w14:paraId="5639A3C4" w14:textId="77777777" w:rsidR="00CF43BB" w:rsidRDefault="00CF43BB" w:rsidP="00FC41B8">
      <w:pPr>
        <w:spacing w:line="276" w:lineRule="auto"/>
        <w:rPr>
          <w:rFonts w:ascii="Times New Roman" w:hAnsi="Times New Roman" w:cs="Times New Roman"/>
          <w:b/>
          <w:bCs/>
          <w:sz w:val="22"/>
          <w:szCs w:val="22"/>
        </w:rPr>
      </w:pPr>
    </w:p>
    <w:p w14:paraId="3F44F389" w14:textId="44FA6D23"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b/>
          <w:bCs/>
          <w:sz w:val="22"/>
          <w:szCs w:val="22"/>
        </w:rPr>
        <w:t xml:space="preserve">Compound and ATC-Code: </w:t>
      </w:r>
      <w:r w:rsidRPr="00376690">
        <w:rPr>
          <w:rFonts w:ascii="Times New Roman" w:hAnsi="Times New Roman" w:cs="Times New Roman"/>
          <w:i/>
          <w:iCs/>
          <w:sz w:val="22"/>
          <w:szCs w:val="22"/>
        </w:rPr>
        <w:t xml:space="preserve">Antimicrobial compounds used for susceptibility testing designated by a 3-letter code and its designation in the Anatomical Therapeutic Chemical (ATC) Classification. </w:t>
      </w:r>
    </w:p>
    <w:p w14:paraId="533FAE01" w14:textId="77777777"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sz w:val="22"/>
          <w:szCs w:val="22"/>
        </w:rPr>
        <w:t xml:space="preserve">ATC-Code starting with J0 stand for antibiotics for human systemic use while QJ01for veterinary use. For additional information and ATC-Code searching, please refer to https://www.whocc.no/atc_ddd_index/ or https://www.whocc.no/atcvet/atcvet_index/. </w:t>
      </w:r>
    </w:p>
    <w:p w14:paraId="361A3C2F" w14:textId="42874EFC" w:rsidR="00F40186"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sz w:val="22"/>
          <w:szCs w:val="22"/>
        </w:rPr>
        <w:t xml:space="preserve">For antibiotics without attributed ATC codes, a pseudo code was constructed by using the ATC code of the molecular classification (5 or 6 characters for human and veterinary antibiotics, respectively) and adding the first character of the compound’s name separated by a - (e.g. Sarafloxacin – J01MA-S). Some </w:t>
      </w:r>
      <w:r w:rsidRPr="00376690">
        <w:rPr>
          <w:rFonts w:ascii="Times New Roman" w:hAnsi="Times New Roman" w:cs="Times New Roman"/>
          <w:sz w:val="22"/>
          <w:szCs w:val="22"/>
        </w:rPr>
        <w:lastRenderedPageBreak/>
        <w:t>ATC codes are provided for mixture of compounds (e.g. J01RA01 for penicillins in combination with other antibacterials). Active ingredients’ name</w:t>
      </w:r>
      <w:r w:rsidR="00870863">
        <w:rPr>
          <w:rFonts w:ascii="Times New Roman" w:hAnsi="Times New Roman" w:cs="Times New Roman"/>
          <w:sz w:val="22"/>
          <w:szCs w:val="22"/>
        </w:rPr>
        <w:t>s</w:t>
      </w:r>
      <w:r w:rsidRPr="00376690">
        <w:rPr>
          <w:rFonts w:ascii="Times New Roman" w:hAnsi="Times New Roman" w:cs="Times New Roman"/>
          <w:sz w:val="22"/>
          <w:szCs w:val="22"/>
        </w:rPr>
        <w:t xml:space="preserve"> were reported when commercial drugs were used.</w:t>
      </w:r>
    </w:p>
    <w:p w14:paraId="00D0C213" w14:textId="77777777" w:rsidR="00F40186" w:rsidRDefault="00F40186" w:rsidP="00FC41B8">
      <w:pPr>
        <w:spacing w:line="276" w:lineRule="auto"/>
        <w:rPr>
          <w:rFonts w:ascii="Times New Roman" w:hAnsi="Times New Roman" w:cs="Times New Roman"/>
          <w:sz w:val="22"/>
          <w:szCs w:val="22"/>
        </w:rPr>
      </w:pPr>
    </w:p>
    <w:p w14:paraId="0E7CE37D" w14:textId="541D3D6F"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sz w:val="22"/>
          <w:szCs w:val="22"/>
        </w:rPr>
        <w:t>The antibiotics found across all studies are the following (3 letter code, ATC-code): Amoxicillin-Clavulanic Acid (AMC, J01CR02); Ticarcillin-Clavulanic acid (TIM, J01CR03); Piperacillin-Tazobactam (PIT, J01CR05); Ampicillin-Sulbactam (SAM, J01CR01); Ampicillin (AMP, J01CA01); Amoxicillin (AMX, J01CA04);</w:t>
      </w:r>
      <w:r w:rsidR="00CD1C04">
        <w:rPr>
          <w:rFonts w:ascii="Times New Roman" w:hAnsi="Times New Roman" w:cs="Times New Roman"/>
          <w:sz w:val="22"/>
          <w:szCs w:val="22"/>
        </w:rPr>
        <w:t xml:space="preserve"> Amoxicillin-Sulbactam (AMS, </w:t>
      </w:r>
      <w:r w:rsidR="00CD1C04" w:rsidRPr="00CD1C04">
        <w:rPr>
          <w:rFonts w:ascii="Times New Roman" w:hAnsi="Times New Roman" w:cs="Times New Roman"/>
          <w:sz w:val="22"/>
          <w:szCs w:val="22"/>
        </w:rPr>
        <w:t>J01CR02</w:t>
      </w:r>
      <w:r w:rsidR="00CD1C04">
        <w:rPr>
          <w:rFonts w:ascii="Times New Roman" w:hAnsi="Times New Roman" w:cs="Times New Roman"/>
          <w:sz w:val="22"/>
          <w:szCs w:val="22"/>
        </w:rPr>
        <w:t>);</w:t>
      </w:r>
      <w:r w:rsidR="001B5755">
        <w:t xml:space="preserve"> </w:t>
      </w:r>
      <w:r w:rsidR="001B5755" w:rsidRPr="00DB5767">
        <w:rPr>
          <w:rFonts w:ascii="Times New Roman" w:hAnsi="Times New Roman" w:cs="Times New Roman"/>
          <w:sz w:val="22"/>
          <w:szCs w:val="22"/>
        </w:rPr>
        <w:t>Azlocillin (</w:t>
      </w:r>
      <w:r w:rsidR="00DB5767" w:rsidRPr="00DB5767">
        <w:rPr>
          <w:rFonts w:ascii="Times New Roman" w:hAnsi="Times New Roman" w:cs="Times New Roman"/>
          <w:sz w:val="22"/>
          <w:szCs w:val="22"/>
        </w:rPr>
        <w:t>AZL</w:t>
      </w:r>
      <w:r w:rsidR="001B5755" w:rsidRPr="00DB5767">
        <w:rPr>
          <w:rFonts w:ascii="Times New Roman" w:hAnsi="Times New Roman" w:cs="Times New Roman"/>
          <w:sz w:val="22"/>
          <w:szCs w:val="22"/>
        </w:rPr>
        <w:t>, J01CA09);</w:t>
      </w:r>
      <w:r w:rsidRPr="00376690">
        <w:rPr>
          <w:rFonts w:ascii="Times New Roman" w:hAnsi="Times New Roman" w:cs="Times New Roman"/>
          <w:sz w:val="22"/>
          <w:szCs w:val="22"/>
        </w:rPr>
        <w:t xml:space="preserve"> Ticarcillin (TIC, J01CA13); Cloxacillin (CLO, J01CF02); Oxacillin (OXA, J01CF04); Piperacillin (PIP, J01CA12); Flucloxacillin (FLU, J01CF05); Carbenicillin (CAR, J01CA03); Methicillin (MET, J01CF03); Penicillin (PEN, J01CE01); Mezocillin (MEZ, J01CA10); Ceftriaxone (CRO, J01DD04); Ceftazidime (CAZ, J01DD02); Cefalexin (CLX, J01DB01); Cefotaxime (CTX, J01DD01); Cefepime (FEP, J01DE01); Cefoxitin (FOX, J01DC01); Cefalotin (CFL, J01DB03); Ceftiofur (CFU, QJ01DD90); Cefuroxime (CXM, J01DC02); Cefpodoxime (CPD, J01DD13); Cefazolin (CFZ, J01DB04); Cefixime (CFM, J01DD08); Cefamandole (CMD, J01DC03); Cefoperazone (CFP, J01DD12); Moxalactam (MOX, J01DD06); Cefradine (CFR, J01DB09); Sulbactam-CFP (SFP, J01DD62); Ceftizoxime (CZM, J01DD07); Cephaloridine (CLD, J01DB02); CAZ-Clavulanic Acid (CAC, J01DD52); </w:t>
      </w:r>
      <w:r w:rsidR="00CC5D07" w:rsidRPr="001436E5">
        <w:rPr>
          <w:rFonts w:ascii="Times New Roman" w:hAnsi="Times New Roman" w:cs="Times New Roman"/>
          <w:sz w:val="22"/>
          <w:szCs w:val="22"/>
        </w:rPr>
        <w:t>Cefotiam (</w:t>
      </w:r>
      <w:r w:rsidR="001436E5" w:rsidRPr="001436E5">
        <w:rPr>
          <w:rFonts w:ascii="Times New Roman" w:hAnsi="Times New Roman" w:cs="Times New Roman"/>
          <w:sz w:val="22"/>
          <w:szCs w:val="22"/>
        </w:rPr>
        <w:t>CFT</w:t>
      </w:r>
      <w:r w:rsidR="00CC5D07" w:rsidRPr="001436E5">
        <w:rPr>
          <w:rFonts w:ascii="Times New Roman" w:hAnsi="Times New Roman" w:cs="Times New Roman"/>
          <w:sz w:val="22"/>
          <w:szCs w:val="22"/>
        </w:rPr>
        <w:t>, ‎J01DC07)</w:t>
      </w:r>
      <w:r w:rsidR="00CC5D07">
        <w:rPr>
          <w:rFonts w:ascii="Times New Roman" w:hAnsi="Times New Roman" w:cs="Times New Roman"/>
          <w:sz w:val="22"/>
          <w:szCs w:val="22"/>
        </w:rPr>
        <w:t xml:space="preserve">; </w:t>
      </w:r>
      <w:r w:rsidR="007F0618" w:rsidRPr="001436E5">
        <w:rPr>
          <w:rFonts w:ascii="Times New Roman" w:hAnsi="Times New Roman" w:cs="Times New Roman"/>
          <w:sz w:val="22"/>
          <w:szCs w:val="22"/>
        </w:rPr>
        <w:t>Cefpimizole (</w:t>
      </w:r>
      <w:r w:rsidR="001436E5" w:rsidRPr="001436E5">
        <w:rPr>
          <w:rFonts w:ascii="Times New Roman" w:hAnsi="Times New Roman" w:cs="Times New Roman"/>
          <w:sz w:val="22"/>
          <w:szCs w:val="22"/>
        </w:rPr>
        <w:t>CPM</w:t>
      </w:r>
      <w:r w:rsidR="007F0618" w:rsidRPr="001436E5">
        <w:rPr>
          <w:rFonts w:ascii="Times New Roman" w:hAnsi="Times New Roman" w:cs="Times New Roman"/>
          <w:sz w:val="22"/>
          <w:szCs w:val="22"/>
        </w:rPr>
        <w:t xml:space="preserve">, </w:t>
      </w:r>
      <w:r w:rsidR="001436E5" w:rsidRPr="001436E5">
        <w:rPr>
          <w:rFonts w:ascii="Times New Roman" w:hAnsi="Times New Roman" w:cs="Times New Roman"/>
          <w:sz w:val="22"/>
          <w:szCs w:val="22"/>
        </w:rPr>
        <w:t>J01DC-C</w:t>
      </w:r>
      <w:r w:rsidR="007F0618" w:rsidRPr="001436E5">
        <w:rPr>
          <w:rFonts w:ascii="Times New Roman" w:hAnsi="Times New Roman" w:cs="Times New Roman"/>
          <w:sz w:val="22"/>
          <w:szCs w:val="22"/>
        </w:rPr>
        <w:t>);</w:t>
      </w:r>
      <w:r w:rsidR="007F0618">
        <w:rPr>
          <w:rFonts w:ascii="Times New Roman" w:hAnsi="Times New Roman" w:cs="Times New Roman"/>
          <w:sz w:val="22"/>
          <w:szCs w:val="22"/>
        </w:rPr>
        <w:t xml:space="preserve"> </w:t>
      </w:r>
      <w:r w:rsidR="007F0618" w:rsidRPr="001436E5">
        <w:rPr>
          <w:rFonts w:ascii="Times New Roman" w:hAnsi="Times New Roman" w:cs="Times New Roman"/>
          <w:sz w:val="22"/>
          <w:szCs w:val="22"/>
        </w:rPr>
        <w:t>Cefminox (</w:t>
      </w:r>
      <w:r w:rsidR="001436E5" w:rsidRPr="001436E5">
        <w:rPr>
          <w:rFonts w:ascii="Times New Roman" w:hAnsi="Times New Roman" w:cs="Times New Roman"/>
          <w:sz w:val="22"/>
          <w:szCs w:val="22"/>
        </w:rPr>
        <w:t>CMX</w:t>
      </w:r>
      <w:r w:rsidR="007F0618" w:rsidRPr="001436E5">
        <w:rPr>
          <w:rFonts w:ascii="Times New Roman" w:hAnsi="Times New Roman" w:cs="Times New Roman"/>
          <w:sz w:val="22"/>
          <w:szCs w:val="22"/>
        </w:rPr>
        <w:t>, J01DC12);</w:t>
      </w:r>
      <w:r w:rsidR="007F0618">
        <w:rPr>
          <w:rFonts w:ascii="Times New Roman" w:hAnsi="Times New Roman" w:cs="Times New Roman"/>
          <w:sz w:val="22"/>
          <w:szCs w:val="22"/>
        </w:rPr>
        <w:t xml:space="preserve"> </w:t>
      </w:r>
      <w:r w:rsidRPr="00376690">
        <w:rPr>
          <w:rFonts w:ascii="Times New Roman" w:hAnsi="Times New Roman" w:cs="Times New Roman"/>
          <w:sz w:val="22"/>
          <w:szCs w:val="22"/>
        </w:rPr>
        <w:t>Cefaclor (CFC, J01DC04); Cefadroxil (CFR, J01DB05); Aztreonam (ATM, J01DF01); Imipenem (IPM, J01DH51); Ertapenem (ERT, J01DH03); Meropenem (MEM, J01DH02); Kanamycin (KAN, J01GB04); Gentamicin (GEN, J01GB03 ); Neomycin (NEO, J01GB05); Streptomycin (STR, J01GA01); Amikacin (AMK, J01GB06); Tobramycin (TOB, J01GB01); Apramycin (APR, QA07AA92); Netilmicin (NET, J01GB07); Spectinomycin (SPT, J01XX04);</w:t>
      </w:r>
      <w:r w:rsidR="00CC5D07">
        <w:rPr>
          <w:rFonts w:ascii="Times New Roman" w:hAnsi="Times New Roman" w:cs="Times New Roman"/>
          <w:sz w:val="22"/>
          <w:szCs w:val="22"/>
        </w:rPr>
        <w:t xml:space="preserve"> </w:t>
      </w:r>
      <w:r w:rsidR="002231DA" w:rsidRPr="00DB5767">
        <w:rPr>
          <w:rFonts w:ascii="Times New Roman" w:hAnsi="Times New Roman" w:cs="Times New Roman"/>
          <w:sz w:val="22"/>
          <w:szCs w:val="22"/>
        </w:rPr>
        <w:t>Fleroxacin (</w:t>
      </w:r>
      <w:r w:rsidR="00DB5767" w:rsidRPr="00DB5767">
        <w:rPr>
          <w:rFonts w:ascii="Times New Roman" w:hAnsi="Times New Roman" w:cs="Times New Roman"/>
          <w:sz w:val="22"/>
          <w:szCs w:val="22"/>
        </w:rPr>
        <w:t>FLR</w:t>
      </w:r>
      <w:r w:rsidR="002231DA" w:rsidRPr="00DB5767">
        <w:rPr>
          <w:rFonts w:ascii="Times New Roman" w:hAnsi="Times New Roman" w:cs="Times New Roman"/>
          <w:sz w:val="22"/>
          <w:szCs w:val="22"/>
        </w:rPr>
        <w:t>, J01MA08); Enoxacin (</w:t>
      </w:r>
      <w:r w:rsidR="00DB5767" w:rsidRPr="00DB5767">
        <w:rPr>
          <w:rFonts w:ascii="Times New Roman" w:hAnsi="Times New Roman" w:cs="Times New Roman"/>
          <w:sz w:val="22"/>
          <w:szCs w:val="22"/>
        </w:rPr>
        <w:t>ENO</w:t>
      </w:r>
      <w:r w:rsidR="002231DA" w:rsidRPr="00DB5767">
        <w:rPr>
          <w:rFonts w:ascii="Times New Roman" w:hAnsi="Times New Roman" w:cs="Times New Roman"/>
          <w:sz w:val="22"/>
          <w:szCs w:val="22"/>
        </w:rPr>
        <w:t>,</w:t>
      </w:r>
      <w:r w:rsidR="00756559" w:rsidRPr="00DB5767">
        <w:rPr>
          <w:rFonts w:ascii="Times New Roman" w:hAnsi="Times New Roman" w:cs="Times New Roman"/>
          <w:sz w:val="22"/>
          <w:szCs w:val="22"/>
        </w:rPr>
        <w:t xml:space="preserve"> </w:t>
      </w:r>
      <w:r w:rsidR="002231DA" w:rsidRPr="00DB5767">
        <w:rPr>
          <w:rFonts w:ascii="Times New Roman" w:hAnsi="Times New Roman" w:cs="Times New Roman"/>
          <w:sz w:val="22"/>
          <w:szCs w:val="22"/>
        </w:rPr>
        <w:t>J01MA04);</w:t>
      </w:r>
      <w:r w:rsidR="002231DA">
        <w:rPr>
          <w:rFonts w:ascii="Times New Roman" w:hAnsi="Times New Roman" w:cs="Times New Roman"/>
          <w:sz w:val="22"/>
          <w:szCs w:val="22"/>
        </w:rPr>
        <w:t xml:space="preserve"> </w:t>
      </w:r>
      <w:r w:rsidRPr="00376690">
        <w:rPr>
          <w:rFonts w:ascii="Times New Roman" w:hAnsi="Times New Roman" w:cs="Times New Roman"/>
          <w:sz w:val="22"/>
          <w:szCs w:val="22"/>
        </w:rPr>
        <w:t xml:space="preserve">Ciprofloxacin (CIP, J01MA02); Nalidixic acid (NAL, J01MB02); </w:t>
      </w:r>
      <w:r w:rsidR="00621C89" w:rsidRPr="00DC72E0">
        <w:rPr>
          <w:rFonts w:ascii="Times New Roman" w:hAnsi="Times New Roman" w:cs="Times New Roman"/>
          <w:sz w:val="22"/>
          <w:szCs w:val="22"/>
        </w:rPr>
        <w:t>Pipemidic acid (</w:t>
      </w:r>
      <w:r w:rsidR="00DC72E0" w:rsidRPr="00DC72E0">
        <w:rPr>
          <w:rFonts w:ascii="Times New Roman" w:hAnsi="Times New Roman" w:cs="Times New Roman"/>
          <w:sz w:val="22"/>
          <w:szCs w:val="22"/>
        </w:rPr>
        <w:t>PIM</w:t>
      </w:r>
      <w:r w:rsidR="00621C89" w:rsidRPr="00DC72E0">
        <w:rPr>
          <w:rFonts w:ascii="Times New Roman" w:hAnsi="Times New Roman" w:cs="Times New Roman"/>
          <w:sz w:val="22"/>
          <w:szCs w:val="22"/>
        </w:rPr>
        <w:t>, J01MB04);</w:t>
      </w:r>
      <w:r w:rsidR="00621C89" w:rsidRPr="00621C89">
        <w:rPr>
          <w:rFonts w:ascii="Times New Roman" w:hAnsi="Times New Roman" w:cs="Times New Roman"/>
          <w:sz w:val="22"/>
          <w:szCs w:val="22"/>
        </w:rPr>
        <w:t xml:space="preserve"> </w:t>
      </w:r>
      <w:r w:rsidRPr="00376690">
        <w:rPr>
          <w:rFonts w:ascii="Times New Roman" w:hAnsi="Times New Roman" w:cs="Times New Roman"/>
          <w:sz w:val="22"/>
          <w:szCs w:val="22"/>
        </w:rPr>
        <w:t xml:space="preserve">Enrofloxacin (ENR, QJ01MA90); Norfloxacin (NOR, J01MA06); Ofloxacin (OFX, J01MA01); Oxolinic Acid (OXO, J01MB05); Flumequine (FLQ, J01MB07); Moxifloxacin (MXF, J01MA14); Levofloxacin (LVX, J01MA12); Pefloxacin (PEF, J01MA03); Marbofloxacin (MRB, QJ01MA93); Gatifloxacin (GAT, S01AE0E); Lomefloxacin (LOM, J01MA07); Danofloxacin (DAN, QJ01MA92); Sarafloxacin (SAR, J01MA-S); Chloramphenicol (CHL, J01BA01); Florfenicol (FFC, QJ01BA90); Thiamphenicol (TFC, J01BA02); Tetracycline (TET, J01AA07); Oxytetracycline (OXT, J01AA06); Doxycycline (DOX, J01AA02); Minocycline (MIN, J01AA08); Chlortetracycline (CTE, J01AA03); Sulfamethoxazole-Trimethoprim (SXT, J01EE01); Sulfamethoxazole (SMZ, J01EC01); Sulfafurazole or Sulfisoxazole (SOX, J01EB05); </w:t>
      </w:r>
      <w:r w:rsidR="001C6E90" w:rsidRPr="001C6E90">
        <w:rPr>
          <w:rFonts w:ascii="Times New Roman" w:hAnsi="Times New Roman" w:cs="Times New Roman"/>
          <w:sz w:val="22"/>
          <w:szCs w:val="22"/>
        </w:rPr>
        <w:t xml:space="preserve">Sulfadiazine </w:t>
      </w:r>
      <w:r w:rsidRPr="00376690">
        <w:rPr>
          <w:rFonts w:ascii="Times New Roman" w:hAnsi="Times New Roman" w:cs="Times New Roman"/>
          <w:sz w:val="22"/>
          <w:szCs w:val="22"/>
        </w:rPr>
        <w:t>(SU</w:t>
      </w:r>
      <w:r w:rsidR="001C6E90">
        <w:rPr>
          <w:rFonts w:ascii="Times New Roman" w:hAnsi="Times New Roman" w:cs="Times New Roman"/>
          <w:sz w:val="22"/>
          <w:szCs w:val="22"/>
        </w:rPr>
        <w:t>D</w:t>
      </w:r>
      <w:r w:rsidRPr="00376690">
        <w:rPr>
          <w:rFonts w:ascii="Times New Roman" w:hAnsi="Times New Roman" w:cs="Times New Roman"/>
          <w:sz w:val="22"/>
          <w:szCs w:val="22"/>
        </w:rPr>
        <w:t xml:space="preserve">, </w:t>
      </w:r>
      <w:r w:rsidRPr="00C333FE">
        <w:rPr>
          <w:rFonts w:ascii="Times New Roman" w:hAnsi="Times New Roman" w:cs="Times New Roman"/>
          <w:sz w:val="22"/>
          <w:szCs w:val="22"/>
        </w:rPr>
        <w:t>J01EE</w:t>
      </w:r>
      <w:r w:rsidR="00C333FE">
        <w:rPr>
          <w:rFonts w:ascii="Times New Roman" w:hAnsi="Times New Roman" w:cs="Times New Roman"/>
          <w:sz w:val="22"/>
          <w:szCs w:val="22"/>
        </w:rPr>
        <w:t>-S</w:t>
      </w:r>
      <w:r w:rsidRPr="00376690">
        <w:rPr>
          <w:rFonts w:ascii="Times New Roman" w:hAnsi="Times New Roman" w:cs="Times New Roman"/>
          <w:sz w:val="22"/>
          <w:szCs w:val="22"/>
        </w:rPr>
        <w:t>); Sulfonamides (SSS, J01E); Trimethoprim-Sulfadiazine (TDZ, QJ01EW10); Trimethoprim (TMP, J01EA01); Sulfamonomethoxine (SMN, QJ01EQ18);</w:t>
      </w:r>
      <w:r w:rsidR="001C6E90">
        <w:rPr>
          <w:rFonts w:ascii="Times New Roman" w:hAnsi="Times New Roman" w:cs="Times New Roman"/>
          <w:sz w:val="22"/>
          <w:szCs w:val="22"/>
        </w:rPr>
        <w:t xml:space="preserve"> </w:t>
      </w:r>
      <w:r w:rsidR="00A536E3" w:rsidRPr="00013B2E">
        <w:rPr>
          <w:rFonts w:ascii="Times New Roman" w:hAnsi="Times New Roman" w:cs="Times New Roman"/>
          <w:sz w:val="22"/>
          <w:szCs w:val="22"/>
        </w:rPr>
        <w:t>Kitasamycin (</w:t>
      </w:r>
      <w:r w:rsidR="00013B2E" w:rsidRPr="00013B2E">
        <w:rPr>
          <w:rFonts w:ascii="Times New Roman" w:hAnsi="Times New Roman" w:cs="Times New Roman"/>
          <w:sz w:val="22"/>
          <w:szCs w:val="22"/>
        </w:rPr>
        <w:t>KIT</w:t>
      </w:r>
      <w:r w:rsidR="00A536E3" w:rsidRPr="00013B2E">
        <w:rPr>
          <w:rFonts w:ascii="Times New Roman" w:hAnsi="Times New Roman" w:cs="Times New Roman"/>
          <w:sz w:val="22"/>
          <w:szCs w:val="22"/>
        </w:rPr>
        <w:t>,</w:t>
      </w:r>
      <w:r w:rsidR="00C333FE" w:rsidRPr="00013B2E">
        <w:rPr>
          <w:rFonts w:ascii="Times New Roman" w:hAnsi="Times New Roman" w:cs="Times New Roman"/>
          <w:sz w:val="22"/>
          <w:szCs w:val="22"/>
        </w:rPr>
        <w:t xml:space="preserve"> </w:t>
      </w:r>
      <w:r w:rsidR="00A536E3" w:rsidRPr="00013B2E">
        <w:rPr>
          <w:rFonts w:ascii="Times New Roman" w:hAnsi="Times New Roman" w:cs="Times New Roman"/>
          <w:sz w:val="22"/>
          <w:szCs w:val="22"/>
        </w:rPr>
        <w:t>QJ01FA93);</w:t>
      </w:r>
      <w:r w:rsidR="00A536E3">
        <w:rPr>
          <w:rFonts w:ascii="Times New Roman" w:hAnsi="Times New Roman" w:cs="Times New Roman"/>
          <w:sz w:val="22"/>
          <w:szCs w:val="22"/>
        </w:rPr>
        <w:t xml:space="preserve"> </w:t>
      </w:r>
      <w:r w:rsidRPr="00376690">
        <w:rPr>
          <w:rFonts w:ascii="Times New Roman" w:hAnsi="Times New Roman" w:cs="Times New Roman"/>
          <w:sz w:val="22"/>
          <w:szCs w:val="22"/>
        </w:rPr>
        <w:t xml:space="preserve">Erythromycin (ERY, J01FA01); </w:t>
      </w:r>
      <w:r w:rsidR="00715D8C" w:rsidRPr="00013B2E">
        <w:rPr>
          <w:rFonts w:ascii="Times New Roman" w:hAnsi="Times New Roman" w:cs="Times New Roman"/>
          <w:sz w:val="22"/>
          <w:szCs w:val="22"/>
        </w:rPr>
        <w:t>Oleandomycin (</w:t>
      </w:r>
      <w:r w:rsidR="00013B2E" w:rsidRPr="00013B2E">
        <w:rPr>
          <w:rFonts w:ascii="Times New Roman" w:hAnsi="Times New Roman" w:cs="Times New Roman"/>
          <w:sz w:val="22"/>
          <w:szCs w:val="22"/>
        </w:rPr>
        <w:t>OLD</w:t>
      </w:r>
      <w:r w:rsidR="00715D8C" w:rsidRPr="00013B2E">
        <w:rPr>
          <w:rFonts w:ascii="Times New Roman" w:hAnsi="Times New Roman" w:cs="Times New Roman"/>
          <w:sz w:val="22"/>
          <w:szCs w:val="22"/>
        </w:rPr>
        <w:t>, J01FA05);</w:t>
      </w:r>
      <w:r w:rsidR="00715D8C" w:rsidRPr="001C6E90">
        <w:rPr>
          <w:rFonts w:ascii="Times New Roman" w:hAnsi="Times New Roman" w:cs="Times New Roman"/>
          <w:sz w:val="22"/>
          <w:szCs w:val="22"/>
        </w:rPr>
        <w:t xml:space="preserve"> </w:t>
      </w:r>
      <w:r w:rsidRPr="00376690">
        <w:rPr>
          <w:rFonts w:ascii="Times New Roman" w:hAnsi="Times New Roman" w:cs="Times New Roman"/>
          <w:sz w:val="22"/>
          <w:szCs w:val="22"/>
        </w:rPr>
        <w:t xml:space="preserve">Lincomycin (LIN, J01FF02); Clindamycin (CLI, J01FF01); Clarithromycin (CLR, J01FA09); Tylosin (TYL, QJ01FA90); Azithromycin (AZM, J01FA10); Spiramycin (SPI, J01FA02); Tilmicosin (TIL, QJ01FA91); Roxithromycin (ROX, J01FA06); Midecamycin (MID, J01FA03); Vancomycin (VAN, J01XA01); Teicoplanin (TEC, J01XA02); Polymixin B (PMB, J01XB02); Colistin (CST, J01XB01); Linezolid (LIZ, J01XX08); Nitrofurantoin (NIT, J01XE01); </w:t>
      </w:r>
      <w:r w:rsidR="00F11357" w:rsidRPr="00013B2E">
        <w:rPr>
          <w:rFonts w:ascii="Times New Roman" w:hAnsi="Times New Roman" w:cs="Times New Roman"/>
          <w:sz w:val="22"/>
          <w:szCs w:val="22"/>
        </w:rPr>
        <w:t>Nitrofurazone (</w:t>
      </w:r>
      <w:r w:rsidR="00284565" w:rsidRPr="00013B2E">
        <w:rPr>
          <w:rFonts w:ascii="Times New Roman" w:hAnsi="Times New Roman" w:cs="Times New Roman"/>
          <w:sz w:val="22"/>
          <w:szCs w:val="22"/>
        </w:rPr>
        <w:t>NFZ</w:t>
      </w:r>
      <w:r w:rsidR="00F11357" w:rsidRPr="00013B2E">
        <w:rPr>
          <w:rFonts w:ascii="Times New Roman" w:hAnsi="Times New Roman" w:cs="Times New Roman"/>
          <w:sz w:val="22"/>
          <w:szCs w:val="22"/>
        </w:rPr>
        <w:t xml:space="preserve">, </w:t>
      </w:r>
      <w:r w:rsidR="00BA53A5" w:rsidRPr="00013B2E">
        <w:rPr>
          <w:rFonts w:ascii="Times New Roman" w:hAnsi="Times New Roman" w:cs="Times New Roman"/>
          <w:sz w:val="22"/>
          <w:szCs w:val="22"/>
        </w:rPr>
        <w:t>D08AF01</w:t>
      </w:r>
      <w:r w:rsidR="00F11357" w:rsidRPr="00013B2E">
        <w:rPr>
          <w:rFonts w:ascii="Times New Roman" w:hAnsi="Times New Roman" w:cs="Times New Roman"/>
          <w:sz w:val="22"/>
          <w:szCs w:val="22"/>
        </w:rPr>
        <w:t>);</w:t>
      </w:r>
      <w:r w:rsidR="00F11357">
        <w:rPr>
          <w:rFonts w:ascii="Times New Roman" w:hAnsi="Times New Roman" w:cs="Times New Roman"/>
          <w:sz w:val="22"/>
          <w:szCs w:val="22"/>
        </w:rPr>
        <w:t xml:space="preserve"> </w:t>
      </w:r>
      <w:r w:rsidR="001266D4" w:rsidRPr="00013B2E">
        <w:rPr>
          <w:rFonts w:ascii="Times New Roman" w:hAnsi="Times New Roman" w:cs="Times New Roman"/>
          <w:sz w:val="22"/>
          <w:szCs w:val="22"/>
        </w:rPr>
        <w:t>Bleomycin (</w:t>
      </w:r>
      <w:r w:rsidR="00013B2E" w:rsidRPr="00013B2E">
        <w:rPr>
          <w:rFonts w:ascii="Times New Roman" w:hAnsi="Times New Roman" w:cs="Times New Roman"/>
          <w:sz w:val="22"/>
          <w:szCs w:val="22"/>
        </w:rPr>
        <w:t>BLM</w:t>
      </w:r>
      <w:r w:rsidR="001266D4" w:rsidRPr="00013B2E">
        <w:rPr>
          <w:rFonts w:ascii="Times New Roman" w:hAnsi="Times New Roman" w:cs="Times New Roman"/>
          <w:sz w:val="22"/>
          <w:szCs w:val="22"/>
        </w:rPr>
        <w:t>,</w:t>
      </w:r>
      <w:r w:rsidR="001266D4" w:rsidRPr="00013B2E">
        <w:t xml:space="preserve"> </w:t>
      </w:r>
      <w:r w:rsidR="001266D4" w:rsidRPr="00013B2E">
        <w:rPr>
          <w:rFonts w:ascii="Times New Roman" w:hAnsi="Times New Roman" w:cs="Times New Roman"/>
          <w:sz w:val="22"/>
          <w:szCs w:val="22"/>
        </w:rPr>
        <w:t>L01DC01);</w:t>
      </w:r>
      <w:r w:rsidR="001266D4">
        <w:rPr>
          <w:rFonts w:ascii="Times New Roman" w:hAnsi="Times New Roman" w:cs="Times New Roman"/>
          <w:sz w:val="22"/>
          <w:szCs w:val="22"/>
        </w:rPr>
        <w:t xml:space="preserve"> </w:t>
      </w:r>
      <w:r w:rsidRPr="00376690">
        <w:rPr>
          <w:rFonts w:ascii="Times New Roman" w:hAnsi="Times New Roman" w:cs="Times New Roman"/>
          <w:sz w:val="22"/>
          <w:szCs w:val="22"/>
        </w:rPr>
        <w:t>Rifampicin (RIF, J04AB02); Bacitracin (BAC, J01XX10); Fosfomycin (FOF, J01XX01); Fusidic acid (FUS, J01XC01); Metronidazole (MTD, J01XD01); Pristinamycin (PRI, J01FG01); Furazolidone (FRZ, QJ01XE90); Novobiocin (NOV, QJ01XX95)</w:t>
      </w:r>
      <w:r w:rsidR="00E54E74">
        <w:rPr>
          <w:rFonts w:ascii="Times New Roman" w:hAnsi="Times New Roman" w:cs="Times New Roman"/>
          <w:sz w:val="22"/>
          <w:szCs w:val="22"/>
        </w:rPr>
        <w:t>;</w:t>
      </w:r>
      <w:r w:rsidR="001266D4" w:rsidRPr="001266D4">
        <w:t xml:space="preserve"> </w:t>
      </w:r>
      <w:r w:rsidR="001266D4" w:rsidRPr="00013B2E">
        <w:rPr>
          <w:rFonts w:ascii="Times New Roman" w:hAnsi="Times New Roman" w:cs="Times New Roman"/>
          <w:sz w:val="22"/>
          <w:szCs w:val="22"/>
        </w:rPr>
        <w:t>Bicyclomycin (</w:t>
      </w:r>
      <w:r w:rsidR="00013B2E" w:rsidRPr="00013B2E">
        <w:rPr>
          <w:rFonts w:ascii="Times New Roman" w:hAnsi="Times New Roman" w:cs="Times New Roman"/>
          <w:sz w:val="22"/>
          <w:szCs w:val="22"/>
        </w:rPr>
        <w:t>BCM</w:t>
      </w:r>
      <w:r w:rsidR="001266D4" w:rsidRPr="00013B2E">
        <w:rPr>
          <w:rFonts w:ascii="Times New Roman" w:hAnsi="Times New Roman" w:cs="Times New Roman"/>
          <w:sz w:val="22"/>
          <w:szCs w:val="22"/>
        </w:rPr>
        <w:t>,</w:t>
      </w:r>
      <w:r w:rsidR="00013B2E" w:rsidRPr="00013B2E">
        <w:rPr>
          <w:rFonts w:ascii="Times New Roman" w:hAnsi="Times New Roman" w:cs="Times New Roman"/>
          <w:sz w:val="22"/>
          <w:szCs w:val="22"/>
        </w:rPr>
        <w:t xml:space="preserve"> J01-B</w:t>
      </w:r>
      <w:r w:rsidR="001266D4" w:rsidRPr="00013B2E">
        <w:rPr>
          <w:rFonts w:ascii="Times New Roman" w:hAnsi="Times New Roman" w:cs="Times New Roman"/>
          <w:sz w:val="22"/>
          <w:szCs w:val="22"/>
        </w:rPr>
        <w:t>);</w:t>
      </w:r>
      <w:r w:rsidR="00E54E74">
        <w:rPr>
          <w:rFonts w:ascii="Times New Roman" w:hAnsi="Times New Roman" w:cs="Times New Roman"/>
          <w:sz w:val="22"/>
          <w:szCs w:val="22"/>
        </w:rPr>
        <w:t xml:space="preserve"> </w:t>
      </w:r>
      <w:r w:rsidR="00E54E74" w:rsidRPr="006522AA">
        <w:rPr>
          <w:rFonts w:ascii="Times New Roman" w:hAnsi="Times New Roman" w:cs="Times New Roman"/>
          <w:sz w:val="22"/>
          <w:szCs w:val="22"/>
        </w:rPr>
        <w:t>Virginiamycin (</w:t>
      </w:r>
      <w:r w:rsidR="006522AA" w:rsidRPr="006522AA">
        <w:rPr>
          <w:rFonts w:ascii="Times New Roman" w:hAnsi="Times New Roman" w:cs="Times New Roman"/>
          <w:sz w:val="22"/>
          <w:szCs w:val="22"/>
        </w:rPr>
        <w:t>VRG</w:t>
      </w:r>
      <w:r w:rsidR="00E54E74" w:rsidRPr="006522AA">
        <w:rPr>
          <w:rFonts w:ascii="Times New Roman" w:hAnsi="Times New Roman" w:cs="Times New Roman"/>
          <w:sz w:val="22"/>
          <w:szCs w:val="22"/>
        </w:rPr>
        <w:t>, D06AX10)</w:t>
      </w:r>
      <w:r w:rsidRPr="006522AA">
        <w:rPr>
          <w:rFonts w:ascii="Times New Roman" w:hAnsi="Times New Roman" w:cs="Times New Roman"/>
          <w:sz w:val="22"/>
          <w:szCs w:val="22"/>
        </w:rPr>
        <w:t>.</w:t>
      </w:r>
    </w:p>
    <w:p w14:paraId="1D8CAF7D" w14:textId="77777777" w:rsidR="00CF43BB" w:rsidRDefault="00CF43BB" w:rsidP="00FC41B8">
      <w:pPr>
        <w:spacing w:line="276" w:lineRule="auto"/>
        <w:rPr>
          <w:rFonts w:ascii="Times New Roman" w:hAnsi="Times New Roman" w:cs="Times New Roman"/>
          <w:b/>
          <w:bCs/>
          <w:sz w:val="22"/>
          <w:szCs w:val="22"/>
        </w:rPr>
      </w:pPr>
    </w:p>
    <w:p w14:paraId="682FF53E" w14:textId="6BB9780A"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b/>
          <w:bCs/>
          <w:sz w:val="22"/>
          <w:szCs w:val="22"/>
        </w:rPr>
        <w:lastRenderedPageBreak/>
        <w:t xml:space="preserve">Rescom: </w:t>
      </w:r>
      <w:r w:rsidRPr="00376690">
        <w:rPr>
          <w:rFonts w:ascii="Times New Roman" w:hAnsi="Times New Roman" w:cs="Times New Roman"/>
          <w:i/>
          <w:iCs/>
          <w:sz w:val="22"/>
          <w:szCs w:val="22"/>
        </w:rPr>
        <w:t xml:space="preserve">Percentage of isolates resistant to the relevant antimicrobial compound </w:t>
      </w:r>
    </w:p>
    <w:p w14:paraId="4106799A" w14:textId="45C1BD8A" w:rsidR="00CF43BB" w:rsidRPr="00CF43BB"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sz w:val="22"/>
          <w:szCs w:val="22"/>
        </w:rPr>
        <w:t xml:space="preserve">Intermediate-resistant isolates were considered susceptible. All values are rounded </w:t>
      </w:r>
      <w:r w:rsidR="00F40186">
        <w:rPr>
          <w:rFonts w:ascii="Times New Roman" w:hAnsi="Times New Roman" w:cs="Times New Roman"/>
          <w:sz w:val="22"/>
          <w:szCs w:val="22"/>
        </w:rPr>
        <w:t>to the nearest whole number.</w:t>
      </w:r>
      <w:r w:rsidRPr="00376690">
        <w:rPr>
          <w:rFonts w:ascii="Times New Roman" w:hAnsi="Times New Roman" w:cs="Times New Roman"/>
          <w:sz w:val="22"/>
          <w:szCs w:val="22"/>
        </w:rPr>
        <w:t xml:space="preserve"> Any value </w:t>
      </w:r>
      <w:r w:rsidR="00F40186">
        <w:rPr>
          <w:rFonts w:ascii="Times New Roman" w:hAnsi="Times New Roman" w:cs="Times New Roman"/>
          <w:sz w:val="22"/>
          <w:szCs w:val="22"/>
        </w:rPr>
        <w:t>between</w:t>
      </w:r>
      <w:r w:rsidRPr="00376690">
        <w:rPr>
          <w:rFonts w:ascii="Times New Roman" w:hAnsi="Times New Roman" w:cs="Times New Roman"/>
          <w:sz w:val="22"/>
          <w:szCs w:val="22"/>
        </w:rPr>
        <w:t xml:space="preserve"> 0%</w:t>
      </w:r>
      <w:r w:rsidR="00F40186">
        <w:rPr>
          <w:rFonts w:ascii="Times New Roman" w:hAnsi="Times New Roman" w:cs="Times New Roman"/>
          <w:sz w:val="22"/>
          <w:szCs w:val="22"/>
        </w:rPr>
        <w:t xml:space="preserve"> and 1%</w:t>
      </w:r>
      <w:r w:rsidRPr="00376690">
        <w:rPr>
          <w:rFonts w:ascii="Times New Roman" w:hAnsi="Times New Roman" w:cs="Times New Roman"/>
          <w:sz w:val="22"/>
          <w:szCs w:val="22"/>
        </w:rPr>
        <w:t xml:space="preserve"> was rounded to 1%. When inconsistencies were noted between the resistance rates reported in the main text of a </w:t>
      </w:r>
      <w:r w:rsidR="00F40186">
        <w:rPr>
          <w:rFonts w:ascii="Times New Roman" w:hAnsi="Times New Roman" w:cs="Times New Roman"/>
          <w:sz w:val="22"/>
          <w:szCs w:val="22"/>
        </w:rPr>
        <w:t>publication</w:t>
      </w:r>
      <w:r w:rsidRPr="00376690">
        <w:rPr>
          <w:rFonts w:ascii="Times New Roman" w:hAnsi="Times New Roman" w:cs="Times New Roman"/>
          <w:sz w:val="22"/>
          <w:szCs w:val="22"/>
        </w:rPr>
        <w:t xml:space="preserve"> and the tables, the values reported in the latter were used.</w:t>
      </w:r>
      <w:r w:rsidR="00F40186">
        <w:rPr>
          <w:rFonts w:ascii="Times New Roman" w:hAnsi="Times New Roman" w:cs="Times New Roman"/>
          <w:sz w:val="22"/>
          <w:szCs w:val="22"/>
        </w:rPr>
        <w:t xml:space="preserve"> Where only raw data was presented (e.g. diameter zone of inhibition or MIC), standard guidelines (CLSI or </w:t>
      </w:r>
      <w:r w:rsidR="00CE20B1">
        <w:rPr>
          <w:rFonts w:ascii="Times New Roman" w:hAnsi="Times New Roman" w:cs="Times New Roman"/>
          <w:sz w:val="22"/>
          <w:szCs w:val="22"/>
        </w:rPr>
        <w:t>EUCAST</w:t>
      </w:r>
      <w:r w:rsidR="00F40186">
        <w:rPr>
          <w:rFonts w:ascii="Times New Roman" w:hAnsi="Times New Roman" w:cs="Times New Roman"/>
          <w:sz w:val="22"/>
          <w:szCs w:val="22"/>
        </w:rPr>
        <w:t xml:space="preserve">) </w:t>
      </w:r>
      <w:r w:rsidR="00CE20B1">
        <w:rPr>
          <w:rFonts w:ascii="Times New Roman" w:hAnsi="Times New Roman" w:cs="Times New Roman"/>
          <w:sz w:val="22"/>
          <w:szCs w:val="22"/>
        </w:rPr>
        <w:t xml:space="preserve">and human clinical breakpoints </w:t>
      </w:r>
      <w:r w:rsidR="00F40186">
        <w:rPr>
          <w:rFonts w:ascii="Times New Roman" w:hAnsi="Times New Roman" w:cs="Times New Roman"/>
          <w:sz w:val="22"/>
          <w:szCs w:val="22"/>
        </w:rPr>
        <w:t>for the year of publication were used as the interpretive criteria</w:t>
      </w:r>
      <w:r w:rsidR="00CE20B1">
        <w:rPr>
          <w:rFonts w:ascii="Times New Roman" w:hAnsi="Times New Roman" w:cs="Times New Roman"/>
          <w:sz w:val="22"/>
          <w:szCs w:val="22"/>
        </w:rPr>
        <w:t xml:space="preserve"> (see Guidelines)</w:t>
      </w:r>
      <w:r w:rsidR="00F40186">
        <w:rPr>
          <w:rFonts w:ascii="Times New Roman" w:hAnsi="Times New Roman" w:cs="Times New Roman"/>
          <w:sz w:val="22"/>
          <w:szCs w:val="22"/>
        </w:rPr>
        <w:t>.</w:t>
      </w:r>
    </w:p>
    <w:p w14:paraId="6AE0F2E5" w14:textId="77777777" w:rsidR="00CF43BB" w:rsidRDefault="00CF43BB" w:rsidP="00FC41B8">
      <w:pPr>
        <w:spacing w:line="276" w:lineRule="auto"/>
        <w:rPr>
          <w:rFonts w:ascii="Times New Roman" w:hAnsi="Times New Roman" w:cs="Times New Roman"/>
          <w:b/>
          <w:bCs/>
          <w:sz w:val="22"/>
          <w:szCs w:val="22"/>
        </w:rPr>
      </w:pPr>
    </w:p>
    <w:p w14:paraId="0CEB4A9B" w14:textId="5910F3A3"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b/>
          <w:bCs/>
          <w:sz w:val="22"/>
          <w:szCs w:val="22"/>
        </w:rPr>
        <w:t xml:space="preserve">Concg: </w:t>
      </w:r>
      <w:r w:rsidRPr="00376690">
        <w:rPr>
          <w:rFonts w:ascii="Times New Roman" w:hAnsi="Times New Roman" w:cs="Times New Roman"/>
          <w:i/>
          <w:iCs/>
          <w:sz w:val="22"/>
          <w:szCs w:val="22"/>
        </w:rPr>
        <w:t>Concentration of antimicrobial used for susceptibility test</w:t>
      </w:r>
    </w:p>
    <w:p w14:paraId="3999C8AB" w14:textId="77777777"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sz w:val="22"/>
          <w:szCs w:val="22"/>
        </w:rPr>
        <w:t xml:space="preserve">For dilution methods, this is the concentration expressed in μg/mL. For diffusion methods, this is the potency of the drug expressed in μg. In the case of antimicrobial mixtures, the sum of both concentrations was taken. </w:t>
      </w:r>
    </w:p>
    <w:p w14:paraId="286CFF90" w14:textId="77777777" w:rsidR="00CF43BB" w:rsidRDefault="00CF43BB" w:rsidP="00FC41B8">
      <w:pPr>
        <w:spacing w:line="276" w:lineRule="auto"/>
        <w:rPr>
          <w:rFonts w:ascii="Times New Roman" w:hAnsi="Times New Roman" w:cs="Times New Roman"/>
          <w:b/>
          <w:bCs/>
          <w:sz w:val="22"/>
          <w:szCs w:val="22"/>
        </w:rPr>
      </w:pPr>
    </w:p>
    <w:p w14:paraId="5BB40FFA" w14:textId="210F1814"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b/>
          <w:bCs/>
          <w:sz w:val="22"/>
          <w:szCs w:val="22"/>
        </w:rPr>
        <w:t xml:space="preserve">Guidelines: </w:t>
      </w:r>
      <w:r w:rsidRPr="00376690">
        <w:rPr>
          <w:rFonts w:ascii="Times New Roman" w:hAnsi="Times New Roman" w:cs="Times New Roman"/>
          <w:i/>
          <w:iCs/>
          <w:sz w:val="22"/>
          <w:szCs w:val="22"/>
        </w:rPr>
        <w:t xml:space="preserve">Category of </w:t>
      </w:r>
      <w:r w:rsidR="0086555C">
        <w:rPr>
          <w:rFonts w:ascii="Times New Roman" w:hAnsi="Times New Roman" w:cs="Times New Roman"/>
          <w:i/>
          <w:iCs/>
          <w:sz w:val="22"/>
          <w:szCs w:val="22"/>
        </w:rPr>
        <w:t>g</w:t>
      </w:r>
      <w:r w:rsidRPr="00376690">
        <w:rPr>
          <w:rFonts w:ascii="Times New Roman" w:hAnsi="Times New Roman" w:cs="Times New Roman"/>
          <w:i/>
          <w:iCs/>
          <w:sz w:val="22"/>
          <w:szCs w:val="22"/>
        </w:rPr>
        <w:t>uideline document used for performing AST</w:t>
      </w:r>
    </w:p>
    <w:p w14:paraId="15DC8F44" w14:textId="5F80405F"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sz w:val="22"/>
          <w:szCs w:val="22"/>
        </w:rPr>
        <w:t xml:space="preserve">Refers to the document </w:t>
      </w:r>
      <w:r w:rsidR="00CE20B1">
        <w:rPr>
          <w:rFonts w:ascii="Times New Roman" w:hAnsi="Times New Roman" w:cs="Times New Roman"/>
          <w:sz w:val="22"/>
          <w:szCs w:val="22"/>
        </w:rPr>
        <w:t xml:space="preserve">and year </w:t>
      </w:r>
      <w:r w:rsidRPr="00376690">
        <w:rPr>
          <w:rFonts w:ascii="Times New Roman" w:hAnsi="Times New Roman" w:cs="Times New Roman"/>
          <w:sz w:val="22"/>
          <w:szCs w:val="22"/>
        </w:rPr>
        <w:t xml:space="preserve">used to compare AST results against clinical breakpoints to classify a pathogen as phenotypically resistant or susceptible to an antibiotic. Values correspond to the committee that developed the guidelines, including the </w:t>
      </w:r>
      <w:r w:rsidR="00665183">
        <w:rPr>
          <w:rFonts w:ascii="Times New Roman" w:hAnsi="Times New Roman" w:cs="Times New Roman"/>
          <w:sz w:val="22"/>
          <w:szCs w:val="22"/>
        </w:rPr>
        <w:t xml:space="preserve">CLSI, the </w:t>
      </w:r>
      <w:r w:rsidRPr="00376690">
        <w:rPr>
          <w:rFonts w:ascii="Times New Roman" w:hAnsi="Times New Roman" w:cs="Times New Roman"/>
          <w:sz w:val="22"/>
          <w:szCs w:val="22"/>
        </w:rPr>
        <w:t>EUCAST and the SFM. Since NCCLS was renamed to CLSI in 2005, all NCCLS documents were recorded as CLSI. When the year of the guidelines used was not reported</w:t>
      </w:r>
      <w:r w:rsidR="00CE20B1">
        <w:rPr>
          <w:rFonts w:ascii="Times New Roman" w:hAnsi="Times New Roman" w:cs="Times New Roman"/>
          <w:sz w:val="22"/>
          <w:szCs w:val="22"/>
        </w:rPr>
        <w:t xml:space="preserve">, only </w:t>
      </w:r>
      <w:r w:rsidRPr="00376690">
        <w:rPr>
          <w:rFonts w:ascii="Times New Roman" w:hAnsi="Times New Roman" w:cs="Times New Roman"/>
          <w:sz w:val="22"/>
          <w:szCs w:val="22"/>
        </w:rPr>
        <w:t>the acronym of the committee was reported.</w:t>
      </w:r>
      <w:r w:rsidR="0021331C">
        <w:rPr>
          <w:rFonts w:ascii="Times New Roman" w:hAnsi="Times New Roman" w:cs="Times New Roman"/>
          <w:sz w:val="22"/>
          <w:szCs w:val="22"/>
        </w:rPr>
        <w:t xml:space="preserve"> Where interpretive criteria used </w:t>
      </w:r>
      <w:r w:rsidR="00F464CD">
        <w:rPr>
          <w:rFonts w:ascii="Times New Roman" w:hAnsi="Times New Roman" w:cs="Times New Roman"/>
          <w:sz w:val="22"/>
          <w:szCs w:val="22"/>
        </w:rPr>
        <w:t xml:space="preserve">were </w:t>
      </w:r>
      <w:r w:rsidR="0021331C">
        <w:rPr>
          <w:rFonts w:ascii="Times New Roman" w:hAnsi="Times New Roman" w:cs="Times New Roman"/>
          <w:sz w:val="22"/>
          <w:szCs w:val="22"/>
        </w:rPr>
        <w:t>manufacturer’s guidelines or a specific literature reference, those are recorded.</w:t>
      </w:r>
    </w:p>
    <w:p w14:paraId="080AEA80" w14:textId="77777777" w:rsidR="00CF43BB" w:rsidRDefault="00CF43BB" w:rsidP="00FC41B8">
      <w:pPr>
        <w:spacing w:line="276" w:lineRule="auto"/>
        <w:rPr>
          <w:rFonts w:ascii="Times New Roman" w:hAnsi="Times New Roman" w:cs="Times New Roman"/>
          <w:b/>
          <w:bCs/>
          <w:sz w:val="22"/>
          <w:szCs w:val="22"/>
        </w:rPr>
      </w:pPr>
    </w:p>
    <w:p w14:paraId="4970E4BE" w14:textId="13A80375" w:rsidR="00FC41B8" w:rsidRPr="00376690" w:rsidRDefault="00FC41B8" w:rsidP="00FC41B8">
      <w:pPr>
        <w:spacing w:line="276" w:lineRule="auto"/>
        <w:rPr>
          <w:rFonts w:ascii="Times New Roman" w:hAnsi="Times New Roman" w:cs="Times New Roman"/>
          <w:sz w:val="22"/>
          <w:szCs w:val="22"/>
        </w:rPr>
      </w:pPr>
      <w:r w:rsidRPr="00376690">
        <w:rPr>
          <w:rFonts w:ascii="Times New Roman" w:hAnsi="Times New Roman" w:cs="Times New Roman"/>
          <w:b/>
          <w:bCs/>
          <w:sz w:val="22"/>
          <w:szCs w:val="22"/>
        </w:rPr>
        <w:t xml:space="preserve">Breakpoint: </w:t>
      </w:r>
      <w:r w:rsidRPr="00376690">
        <w:rPr>
          <w:rFonts w:ascii="Times New Roman" w:hAnsi="Times New Roman" w:cs="Times New Roman"/>
          <w:i/>
          <w:iCs/>
          <w:sz w:val="22"/>
          <w:szCs w:val="22"/>
        </w:rPr>
        <w:t>Breakpoint used for assessing antimicrobial susceptibility testing</w:t>
      </w:r>
    </w:p>
    <w:p w14:paraId="0B0419FA" w14:textId="3D6E07FB" w:rsidR="00FC41B8" w:rsidRPr="00376690" w:rsidRDefault="00665183" w:rsidP="00FC41B8">
      <w:pPr>
        <w:spacing w:line="276" w:lineRule="auto"/>
        <w:rPr>
          <w:rFonts w:ascii="Times New Roman" w:hAnsi="Times New Roman" w:cs="Times New Roman"/>
          <w:sz w:val="22"/>
          <w:szCs w:val="22"/>
        </w:rPr>
      </w:pPr>
      <w:r>
        <w:rPr>
          <w:rFonts w:ascii="Times New Roman" w:hAnsi="Times New Roman" w:cs="Times New Roman"/>
          <w:sz w:val="22"/>
          <w:szCs w:val="22"/>
        </w:rPr>
        <w:t xml:space="preserve">As clinical breakpoints are nearly absent for bacterial pathogens in aquatic animal species, </w:t>
      </w:r>
      <w:r w:rsidR="00F6334C">
        <w:rPr>
          <w:rFonts w:ascii="Times New Roman" w:hAnsi="Times New Roman" w:cs="Times New Roman"/>
          <w:sz w:val="22"/>
          <w:szCs w:val="22"/>
        </w:rPr>
        <w:t xml:space="preserve">surveys most frequently use </w:t>
      </w:r>
      <w:r>
        <w:rPr>
          <w:rFonts w:ascii="Times New Roman" w:hAnsi="Times New Roman" w:cs="Times New Roman"/>
          <w:sz w:val="22"/>
          <w:szCs w:val="22"/>
        </w:rPr>
        <w:t xml:space="preserve">human clinical breakpoints </w:t>
      </w:r>
      <w:r w:rsidR="00F6334C">
        <w:rPr>
          <w:rFonts w:ascii="Times New Roman" w:hAnsi="Times New Roman" w:cs="Times New Roman"/>
          <w:sz w:val="22"/>
          <w:szCs w:val="22"/>
        </w:rPr>
        <w:t xml:space="preserve">(at the species, genera, or family level) </w:t>
      </w:r>
      <w:r>
        <w:rPr>
          <w:rFonts w:ascii="Times New Roman" w:hAnsi="Times New Roman" w:cs="Times New Roman"/>
          <w:sz w:val="22"/>
          <w:szCs w:val="22"/>
        </w:rPr>
        <w:t xml:space="preserve">when available. </w:t>
      </w:r>
      <w:r w:rsidR="00FC41B8" w:rsidRPr="00376690">
        <w:rPr>
          <w:rFonts w:ascii="Times New Roman" w:hAnsi="Times New Roman" w:cs="Times New Roman"/>
          <w:sz w:val="22"/>
          <w:szCs w:val="22"/>
        </w:rPr>
        <w:t>For diffusion methods, the breakpoint is expressed as &lt;= the diameter value in mm of the growth inhibition zone. For dilution methods, the breakpoint is expressed as &gt;= the value of the concentration in μg/mL of bacterial growth inhibition. When breakpoints were not yet established for certain antimicrobials, the breakpoint specified by the authors were recorded. These are typically derived from breakpoints of similar molecules or from the literature.</w:t>
      </w:r>
    </w:p>
    <w:p w14:paraId="28582A49" w14:textId="77777777" w:rsidR="00CF43BB" w:rsidRDefault="00CF43BB" w:rsidP="00FC41B8">
      <w:pPr>
        <w:spacing w:line="276" w:lineRule="auto"/>
        <w:rPr>
          <w:rFonts w:ascii="Times New Roman" w:hAnsi="Times New Roman" w:cs="Times New Roman"/>
          <w:b/>
          <w:bCs/>
          <w:sz w:val="22"/>
          <w:szCs w:val="22"/>
        </w:rPr>
      </w:pPr>
    </w:p>
    <w:p w14:paraId="002DA6CB" w14:textId="18BF41A9" w:rsidR="00F24101" w:rsidRPr="00C6331A" w:rsidRDefault="00FC41B8" w:rsidP="00C6331A">
      <w:pPr>
        <w:spacing w:line="276" w:lineRule="auto"/>
        <w:rPr>
          <w:rFonts w:ascii="Times New Roman" w:hAnsi="Times New Roman" w:cs="Times New Roman"/>
          <w:sz w:val="22"/>
          <w:szCs w:val="22"/>
        </w:rPr>
      </w:pPr>
      <w:r w:rsidRPr="00376690">
        <w:rPr>
          <w:rFonts w:ascii="Times New Roman" w:hAnsi="Times New Roman" w:cs="Times New Roman"/>
          <w:b/>
          <w:bCs/>
          <w:sz w:val="22"/>
          <w:szCs w:val="22"/>
        </w:rPr>
        <w:t xml:space="preserve">Remark: </w:t>
      </w:r>
      <w:r w:rsidRPr="00376690">
        <w:rPr>
          <w:rFonts w:ascii="Times New Roman" w:hAnsi="Times New Roman" w:cs="Times New Roman"/>
          <w:i/>
          <w:iCs/>
          <w:sz w:val="22"/>
          <w:szCs w:val="22"/>
        </w:rPr>
        <w:t>Comments relative to the publication (first row) or for specific compounds (additional rows)</w:t>
      </w:r>
    </w:p>
    <w:sectPr w:rsidR="00F24101" w:rsidRPr="00C6331A" w:rsidSect="00591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B8"/>
    <w:rsid w:val="00013B2E"/>
    <w:rsid w:val="00061DE0"/>
    <w:rsid w:val="000B0A7B"/>
    <w:rsid w:val="000C5CB2"/>
    <w:rsid w:val="000E12C3"/>
    <w:rsid w:val="001266D4"/>
    <w:rsid w:val="001436E5"/>
    <w:rsid w:val="001B5755"/>
    <w:rsid w:val="001C6E90"/>
    <w:rsid w:val="001E432E"/>
    <w:rsid w:val="0021331C"/>
    <w:rsid w:val="002231DA"/>
    <w:rsid w:val="00284565"/>
    <w:rsid w:val="002F18DE"/>
    <w:rsid w:val="002F3EF9"/>
    <w:rsid w:val="003103BC"/>
    <w:rsid w:val="00331967"/>
    <w:rsid w:val="003D1FB9"/>
    <w:rsid w:val="00403479"/>
    <w:rsid w:val="00424CF8"/>
    <w:rsid w:val="00500501"/>
    <w:rsid w:val="00591879"/>
    <w:rsid w:val="005B4BE4"/>
    <w:rsid w:val="00621C89"/>
    <w:rsid w:val="006370F1"/>
    <w:rsid w:val="006522AA"/>
    <w:rsid w:val="00665183"/>
    <w:rsid w:val="00715D8C"/>
    <w:rsid w:val="00756559"/>
    <w:rsid w:val="00797AA5"/>
    <w:rsid w:val="007B51F3"/>
    <w:rsid w:val="007C0A9A"/>
    <w:rsid w:val="007C3D9D"/>
    <w:rsid w:val="007E7AD1"/>
    <w:rsid w:val="007F0618"/>
    <w:rsid w:val="007F71D6"/>
    <w:rsid w:val="00856EF6"/>
    <w:rsid w:val="0086127D"/>
    <w:rsid w:val="0086555C"/>
    <w:rsid w:val="00870863"/>
    <w:rsid w:val="009367C8"/>
    <w:rsid w:val="009B1C90"/>
    <w:rsid w:val="009D5574"/>
    <w:rsid w:val="009F1C35"/>
    <w:rsid w:val="00A52493"/>
    <w:rsid w:val="00A536E3"/>
    <w:rsid w:val="00A5652D"/>
    <w:rsid w:val="00AC1B96"/>
    <w:rsid w:val="00B4012D"/>
    <w:rsid w:val="00B430E4"/>
    <w:rsid w:val="00B77B98"/>
    <w:rsid w:val="00B8607E"/>
    <w:rsid w:val="00B9135B"/>
    <w:rsid w:val="00BA53A5"/>
    <w:rsid w:val="00BC48DB"/>
    <w:rsid w:val="00C136CB"/>
    <w:rsid w:val="00C25407"/>
    <w:rsid w:val="00C333FE"/>
    <w:rsid w:val="00C6331A"/>
    <w:rsid w:val="00C702EF"/>
    <w:rsid w:val="00CC5D07"/>
    <w:rsid w:val="00CD1C04"/>
    <w:rsid w:val="00CE20B1"/>
    <w:rsid w:val="00CF43BB"/>
    <w:rsid w:val="00D325A1"/>
    <w:rsid w:val="00D46A52"/>
    <w:rsid w:val="00D97336"/>
    <w:rsid w:val="00DA10BF"/>
    <w:rsid w:val="00DB5767"/>
    <w:rsid w:val="00DC72E0"/>
    <w:rsid w:val="00DE2121"/>
    <w:rsid w:val="00DE5DD4"/>
    <w:rsid w:val="00E1362C"/>
    <w:rsid w:val="00E54E74"/>
    <w:rsid w:val="00E94812"/>
    <w:rsid w:val="00F076AB"/>
    <w:rsid w:val="00F11357"/>
    <w:rsid w:val="00F40186"/>
    <w:rsid w:val="00F464CD"/>
    <w:rsid w:val="00F563A4"/>
    <w:rsid w:val="00F6334C"/>
    <w:rsid w:val="00FB5D1A"/>
    <w:rsid w:val="00FC41B8"/>
    <w:rsid w:val="00FF2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21BB8"/>
  <w15:chartTrackingRefBased/>
  <w15:docId w15:val="{BE280E25-E578-D746-A743-EE7B8E353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1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47609">
      <w:bodyDiv w:val="1"/>
      <w:marLeft w:val="0"/>
      <w:marRight w:val="0"/>
      <w:marTop w:val="0"/>
      <w:marBottom w:val="0"/>
      <w:divBdr>
        <w:top w:val="none" w:sz="0" w:space="0" w:color="auto"/>
        <w:left w:val="none" w:sz="0" w:space="0" w:color="auto"/>
        <w:bottom w:val="none" w:sz="0" w:space="0" w:color="auto"/>
        <w:right w:val="none" w:sz="0" w:space="0" w:color="auto"/>
      </w:divBdr>
    </w:div>
    <w:div w:id="162211931">
      <w:bodyDiv w:val="1"/>
      <w:marLeft w:val="0"/>
      <w:marRight w:val="0"/>
      <w:marTop w:val="0"/>
      <w:marBottom w:val="0"/>
      <w:divBdr>
        <w:top w:val="none" w:sz="0" w:space="0" w:color="auto"/>
        <w:left w:val="none" w:sz="0" w:space="0" w:color="auto"/>
        <w:bottom w:val="none" w:sz="0" w:space="0" w:color="auto"/>
        <w:right w:val="none" w:sz="0" w:space="0" w:color="auto"/>
      </w:divBdr>
    </w:div>
    <w:div w:id="259145263">
      <w:bodyDiv w:val="1"/>
      <w:marLeft w:val="0"/>
      <w:marRight w:val="0"/>
      <w:marTop w:val="0"/>
      <w:marBottom w:val="0"/>
      <w:divBdr>
        <w:top w:val="none" w:sz="0" w:space="0" w:color="auto"/>
        <w:left w:val="none" w:sz="0" w:space="0" w:color="auto"/>
        <w:bottom w:val="none" w:sz="0" w:space="0" w:color="auto"/>
        <w:right w:val="none" w:sz="0" w:space="0" w:color="auto"/>
      </w:divBdr>
    </w:div>
    <w:div w:id="320282204">
      <w:bodyDiv w:val="1"/>
      <w:marLeft w:val="0"/>
      <w:marRight w:val="0"/>
      <w:marTop w:val="0"/>
      <w:marBottom w:val="0"/>
      <w:divBdr>
        <w:top w:val="none" w:sz="0" w:space="0" w:color="auto"/>
        <w:left w:val="none" w:sz="0" w:space="0" w:color="auto"/>
        <w:bottom w:val="none" w:sz="0" w:space="0" w:color="auto"/>
        <w:right w:val="none" w:sz="0" w:space="0" w:color="auto"/>
      </w:divBdr>
    </w:div>
    <w:div w:id="321398086">
      <w:bodyDiv w:val="1"/>
      <w:marLeft w:val="0"/>
      <w:marRight w:val="0"/>
      <w:marTop w:val="0"/>
      <w:marBottom w:val="0"/>
      <w:divBdr>
        <w:top w:val="none" w:sz="0" w:space="0" w:color="auto"/>
        <w:left w:val="none" w:sz="0" w:space="0" w:color="auto"/>
        <w:bottom w:val="none" w:sz="0" w:space="0" w:color="auto"/>
        <w:right w:val="none" w:sz="0" w:space="0" w:color="auto"/>
      </w:divBdr>
    </w:div>
    <w:div w:id="622923989">
      <w:bodyDiv w:val="1"/>
      <w:marLeft w:val="0"/>
      <w:marRight w:val="0"/>
      <w:marTop w:val="0"/>
      <w:marBottom w:val="0"/>
      <w:divBdr>
        <w:top w:val="none" w:sz="0" w:space="0" w:color="auto"/>
        <w:left w:val="none" w:sz="0" w:space="0" w:color="auto"/>
        <w:bottom w:val="none" w:sz="0" w:space="0" w:color="auto"/>
        <w:right w:val="none" w:sz="0" w:space="0" w:color="auto"/>
      </w:divBdr>
    </w:div>
    <w:div w:id="678000391">
      <w:bodyDiv w:val="1"/>
      <w:marLeft w:val="0"/>
      <w:marRight w:val="0"/>
      <w:marTop w:val="0"/>
      <w:marBottom w:val="0"/>
      <w:divBdr>
        <w:top w:val="none" w:sz="0" w:space="0" w:color="auto"/>
        <w:left w:val="none" w:sz="0" w:space="0" w:color="auto"/>
        <w:bottom w:val="none" w:sz="0" w:space="0" w:color="auto"/>
        <w:right w:val="none" w:sz="0" w:space="0" w:color="auto"/>
      </w:divBdr>
    </w:div>
    <w:div w:id="942960623">
      <w:bodyDiv w:val="1"/>
      <w:marLeft w:val="0"/>
      <w:marRight w:val="0"/>
      <w:marTop w:val="0"/>
      <w:marBottom w:val="0"/>
      <w:divBdr>
        <w:top w:val="none" w:sz="0" w:space="0" w:color="auto"/>
        <w:left w:val="none" w:sz="0" w:space="0" w:color="auto"/>
        <w:bottom w:val="none" w:sz="0" w:space="0" w:color="auto"/>
        <w:right w:val="none" w:sz="0" w:space="0" w:color="auto"/>
      </w:divBdr>
    </w:div>
    <w:div w:id="1141727246">
      <w:bodyDiv w:val="1"/>
      <w:marLeft w:val="0"/>
      <w:marRight w:val="0"/>
      <w:marTop w:val="0"/>
      <w:marBottom w:val="0"/>
      <w:divBdr>
        <w:top w:val="none" w:sz="0" w:space="0" w:color="auto"/>
        <w:left w:val="none" w:sz="0" w:space="0" w:color="auto"/>
        <w:bottom w:val="none" w:sz="0" w:space="0" w:color="auto"/>
        <w:right w:val="none" w:sz="0" w:space="0" w:color="auto"/>
      </w:divBdr>
    </w:div>
    <w:div w:id="1179154315">
      <w:bodyDiv w:val="1"/>
      <w:marLeft w:val="0"/>
      <w:marRight w:val="0"/>
      <w:marTop w:val="0"/>
      <w:marBottom w:val="0"/>
      <w:divBdr>
        <w:top w:val="none" w:sz="0" w:space="0" w:color="auto"/>
        <w:left w:val="none" w:sz="0" w:space="0" w:color="auto"/>
        <w:bottom w:val="none" w:sz="0" w:space="0" w:color="auto"/>
        <w:right w:val="none" w:sz="0" w:space="0" w:color="auto"/>
      </w:divBdr>
    </w:div>
    <w:div w:id="1258443260">
      <w:bodyDiv w:val="1"/>
      <w:marLeft w:val="0"/>
      <w:marRight w:val="0"/>
      <w:marTop w:val="0"/>
      <w:marBottom w:val="0"/>
      <w:divBdr>
        <w:top w:val="none" w:sz="0" w:space="0" w:color="auto"/>
        <w:left w:val="none" w:sz="0" w:space="0" w:color="auto"/>
        <w:bottom w:val="none" w:sz="0" w:space="0" w:color="auto"/>
        <w:right w:val="none" w:sz="0" w:space="0" w:color="auto"/>
      </w:divBdr>
    </w:div>
    <w:div w:id="1369985683">
      <w:bodyDiv w:val="1"/>
      <w:marLeft w:val="0"/>
      <w:marRight w:val="0"/>
      <w:marTop w:val="0"/>
      <w:marBottom w:val="0"/>
      <w:divBdr>
        <w:top w:val="none" w:sz="0" w:space="0" w:color="auto"/>
        <w:left w:val="none" w:sz="0" w:space="0" w:color="auto"/>
        <w:bottom w:val="none" w:sz="0" w:space="0" w:color="auto"/>
        <w:right w:val="none" w:sz="0" w:space="0" w:color="auto"/>
      </w:divBdr>
    </w:div>
    <w:div w:id="1598053537">
      <w:bodyDiv w:val="1"/>
      <w:marLeft w:val="0"/>
      <w:marRight w:val="0"/>
      <w:marTop w:val="0"/>
      <w:marBottom w:val="0"/>
      <w:divBdr>
        <w:top w:val="none" w:sz="0" w:space="0" w:color="auto"/>
        <w:left w:val="none" w:sz="0" w:space="0" w:color="auto"/>
        <w:bottom w:val="none" w:sz="0" w:space="0" w:color="auto"/>
        <w:right w:val="none" w:sz="0" w:space="0" w:color="auto"/>
      </w:divBdr>
    </w:div>
    <w:div w:id="1759517831">
      <w:bodyDiv w:val="1"/>
      <w:marLeft w:val="0"/>
      <w:marRight w:val="0"/>
      <w:marTop w:val="0"/>
      <w:marBottom w:val="0"/>
      <w:divBdr>
        <w:top w:val="none" w:sz="0" w:space="0" w:color="auto"/>
        <w:left w:val="none" w:sz="0" w:space="0" w:color="auto"/>
        <w:bottom w:val="none" w:sz="0" w:space="0" w:color="auto"/>
        <w:right w:val="none" w:sz="0" w:space="0" w:color="auto"/>
      </w:divBdr>
    </w:div>
    <w:div w:id="1844934619">
      <w:bodyDiv w:val="1"/>
      <w:marLeft w:val="0"/>
      <w:marRight w:val="0"/>
      <w:marTop w:val="0"/>
      <w:marBottom w:val="0"/>
      <w:divBdr>
        <w:top w:val="none" w:sz="0" w:space="0" w:color="auto"/>
        <w:left w:val="none" w:sz="0" w:space="0" w:color="auto"/>
        <w:bottom w:val="none" w:sz="0" w:space="0" w:color="auto"/>
        <w:right w:val="none" w:sz="0" w:space="0" w:color="auto"/>
      </w:divBdr>
    </w:div>
    <w:div w:id="1845709210">
      <w:bodyDiv w:val="1"/>
      <w:marLeft w:val="0"/>
      <w:marRight w:val="0"/>
      <w:marTop w:val="0"/>
      <w:marBottom w:val="0"/>
      <w:divBdr>
        <w:top w:val="none" w:sz="0" w:space="0" w:color="auto"/>
        <w:left w:val="none" w:sz="0" w:space="0" w:color="auto"/>
        <w:bottom w:val="none" w:sz="0" w:space="0" w:color="auto"/>
        <w:right w:val="none" w:sz="0" w:space="0" w:color="auto"/>
      </w:divBdr>
    </w:div>
    <w:div w:id="1899240221">
      <w:bodyDiv w:val="1"/>
      <w:marLeft w:val="0"/>
      <w:marRight w:val="0"/>
      <w:marTop w:val="0"/>
      <w:marBottom w:val="0"/>
      <w:divBdr>
        <w:top w:val="none" w:sz="0" w:space="0" w:color="auto"/>
        <w:left w:val="none" w:sz="0" w:space="0" w:color="auto"/>
        <w:bottom w:val="none" w:sz="0" w:space="0" w:color="auto"/>
        <w:right w:val="none" w:sz="0" w:space="0" w:color="auto"/>
      </w:divBdr>
    </w:div>
    <w:div w:id="1936131428">
      <w:bodyDiv w:val="1"/>
      <w:marLeft w:val="0"/>
      <w:marRight w:val="0"/>
      <w:marTop w:val="0"/>
      <w:marBottom w:val="0"/>
      <w:divBdr>
        <w:top w:val="none" w:sz="0" w:space="0" w:color="auto"/>
        <w:left w:val="none" w:sz="0" w:space="0" w:color="auto"/>
        <w:bottom w:val="none" w:sz="0" w:space="0" w:color="auto"/>
        <w:right w:val="none" w:sz="0" w:space="0" w:color="auto"/>
      </w:divBdr>
    </w:div>
    <w:div w:id="1967808010">
      <w:bodyDiv w:val="1"/>
      <w:marLeft w:val="0"/>
      <w:marRight w:val="0"/>
      <w:marTop w:val="0"/>
      <w:marBottom w:val="0"/>
      <w:divBdr>
        <w:top w:val="none" w:sz="0" w:space="0" w:color="auto"/>
        <w:left w:val="none" w:sz="0" w:space="0" w:color="auto"/>
        <w:bottom w:val="none" w:sz="0" w:space="0" w:color="auto"/>
        <w:right w:val="none" w:sz="0" w:space="0" w:color="auto"/>
      </w:divBdr>
    </w:div>
    <w:div w:id="1979063610">
      <w:bodyDiv w:val="1"/>
      <w:marLeft w:val="0"/>
      <w:marRight w:val="0"/>
      <w:marTop w:val="0"/>
      <w:marBottom w:val="0"/>
      <w:divBdr>
        <w:top w:val="none" w:sz="0" w:space="0" w:color="auto"/>
        <w:left w:val="none" w:sz="0" w:space="0" w:color="auto"/>
        <w:bottom w:val="none" w:sz="0" w:space="0" w:color="auto"/>
        <w:right w:val="none" w:sz="0" w:space="0" w:color="auto"/>
      </w:divBdr>
    </w:div>
    <w:div w:id="1991322069">
      <w:bodyDiv w:val="1"/>
      <w:marLeft w:val="0"/>
      <w:marRight w:val="0"/>
      <w:marTop w:val="0"/>
      <w:marBottom w:val="0"/>
      <w:divBdr>
        <w:top w:val="none" w:sz="0" w:space="0" w:color="auto"/>
        <w:left w:val="none" w:sz="0" w:space="0" w:color="auto"/>
        <w:bottom w:val="none" w:sz="0" w:space="0" w:color="auto"/>
        <w:right w:val="none" w:sz="0" w:space="0" w:color="auto"/>
      </w:divBdr>
    </w:div>
    <w:div w:id="203510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5</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SCHAR  Daniel</dc:creator>
  <cp:keywords/>
  <dc:description/>
  <cp:lastModifiedBy>Nicola Criscuolo</cp:lastModifiedBy>
  <cp:revision>85</cp:revision>
  <dcterms:created xsi:type="dcterms:W3CDTF">2020-06-20T07:24:00Z</dcterms:created>
  <dcterms:modified xsi:type="dcterms:W3CDTF">2021-09-08T07:47:00Z</dcterms:modified>
</cp:coreProperties>
</file>