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human-centered summit and creative studio for 100 curated leaders across capital, media, technology, sports, policy, and the creative industries.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Singapore uniquely bridges two traditions: disruption tested through open debate, and long-term thinking strengthened by consensus.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AI on the Dot brings these perspectives together to explore how AI changes what we value, how we perform, and the stories we tell. This summit establishes Singapore as a premier human-centered AI hub, connecting global capital and technology with Asian creativity,  community, and world-class live experiences.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Our Core Mission: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"How can AI expand human possibility without erasing the artist, the community, or the culture?"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When: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October 6th, 2026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Where: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Glass Dome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,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60" w:line="240" w:lineRule="auto"/>
        <w:rPr>
          <w:rFonts w:ascii="Georgia" w:cs="Georgia" w:eastAsia="Georgia" w:hAnsi="Georgia"/>
          <w:color w:val="2e74b5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5"/>
          <w:szCs w:val="25"/>
          <w:rtl w:val="0"/>
        </w:rPr>
        <w:t xml:space="preserve">Strategic Frame — Capital × Culture ×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The theme connects three communities already converging in Singapore that week, while keeping the conference firmly human-centered: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Capital — what we value, who participates in the upside, and what responsible investment should reward.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Culture — who authors the story, whose identity is represented, and how technology can strengthen rather than flatten community and craft.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Competition — how people and teams use intelligent systems to make better decisions, adapt quickly, and perform under pressure.</w:t>
      </w:r>
    </w:p>
    <w:p w:rsidR="00000000" w:rsidDel="00000000" w:rsidP="00000000" w:rsidRDefault="00000000" w:rsidRPr="00000000" w14:paraId="00000011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These are not separate tracks but one set of questions: Who benefits? Who decides? Who is represented? Who is accountable? What becomes newly possible?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60" w:line="240" w:lineRule="auto"/>
        <w:rPr>
          <w:rFonts w:ascii="Georgia" w:cs="Georgia" w:eastAsia="Georgia" w:hAnsi="Georgia"/>
          <w:color w:val="2e74b5"/>
          <w:sz w:val="26"/>
          <w:szCs w:val="26"/>
        </w:rPr>
      </w:pPr>
      <w:bookmarkStart w:colFirst="0" w:colLast="0" w:name="_5t7ukdryoe2k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5"/>
          <w:szCs w:val="25"/>
          <w:rtl w:val="0"/>
        </w:rPr>
        <w:t xml:space="preserve">Intended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Build meaningful relationships across sectors that rarely work together.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Identify practical, human-centered AI experiments leaders can take back to their organizations.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Produce six memorable creative artifacts: one slide and one short trailer per Studio team.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Give regional artists and creative technologists a visible role in shaping the conversation.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Position Singapore as a connector of capital, culture, technology, and global performance.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00" w:line="280" w:lineRule="auto"/>
        <w:ind w:left="400" w:hanging="260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Create a first node for an ongoing Connecting the Dots network and follow-up pilots.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72a"/>
          <w:sz w:val="38"/>
          <w:szCs w:val="38"/>
          <w:rtl w:val="0"/>
        </w:rPr>
        <w:t xml:space="preserve">The Hourglass Structure: Shared Context to Focused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250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Prospective Breakout Sessions for Stage 2: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1 · The Creator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How should capital support AI-enabled creativity while protecting authorship, livelihoods, attribution, and shared upside? Creative direction: a future in which artists participate in the value their work helps create.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2 · Trust Is the New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What creates confidence in financial, media, and digital systems when synthetic content, impersonation, and automated persuasion are abundant? Creative direction: a practical trust principle, prototype, or organizational commitment.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3 · Human Judgment at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How can AI help people and teams interpret complexity and perform under pressure without displacing leadership, intuition, or accountability? Creative direction: a story about the partnership between human judgment and real-time technology.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4 · The Future Fan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How can AI make sport and live entertainment more accessible, participatory, and culturally relevant without fragmenting the shared experience? Creative direction: a new fan experience rooted in connection rather than passive personalization.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5 · Identity, Avatar, and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Who controls a person's face, voice, data, digital double, and cultural identity across entertainment, sport, and commerce? Creative direction: a clear rights framework or story that makes invisible risks tangible.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20" w:before="260" w:line="240" w:lineRule="auto"/>
        <w:rPr>
          <w:rFonts w:ascii="Georgia" w:cs="Georgia" w:eastAsia="Georgia" w:hAnsi="Georgia"/>
          <w:color w:val="1f4d78"/>
          <w:sz w:val="24"/>
          <w:szCs w:val="24"/>
        </w:rPr>
      </w:pPr>
      <w:bookmarkStart w:colFirst="0" w:colLast="0" w:name="_pv9vdsqy14ps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b3a55"/>
          <w:sz w:val="22"/>
          <w:szCs w:val="22"/>
          <w:rtl w:val="0"/>
        </w:rPr>
        <w:t xml:space="preserve">6 · Singapore: The Connected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How can Singapore connect global capital and technology with Asian creativity, cultural context, community, and world-class live experience? Creative direction: a vision for Singapore as a trusted test bed for human-centered AI.</w:t>
      </w:r>
    </w:p>
    <w:p w:rsidR="00000000" w:rsidDel="00000000" w:rsidP="00000000" w:rsidRDefault="00000000" w:rsidRPr="00000000" w14:paraId="0000002C">
      <w:pPr>
        <w:spacing w:after="160" w:line="300" w:lineRule="auto"/>
        <w:rPr>
          <w:rFonts w:ascii="Georgia" w:cs="Georgia" w:eastAsia="Georgia" w:hAnsi="Georgia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a1a1a"/>
          <w:sz w:val="21"/>
          <w:szCs w:val="21"/>
          <w:rtl w:val="0"/>
        </w:rPr>
        <w:t xml:space="preserve">Invited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 Keynote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 lightning talk speakers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 moderator - panel discussion with the 4 lightning talk speakers.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 facilitators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6 GenAI artists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48 Creator Track Participants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the afternoon, delegates who are not participating in the Creative Studio will be invited to a “Learning Journey” to a local art gallery,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IMBA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81225" cy="13268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1225" cy="13268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400" w:hanging="260"/>
      </w:pPr>
      <w:rPr>
        <w:u w:val="none"/>
      </w:rPr>
    </w:lvl>
    <w:lvl w:ilvl="1">
      <w:start w:val="1"/>
      <w:numFmt w:val="bullet"/>
      <w:lvlText w:val="·"/>
      <w:lvlJc w:val="left"/>
      <w:pPr>
        <w:ind w:left="76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glassdome.sg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imbagloba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bold.ttf"/><Relationship Id="rId2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