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Stratégie IA de l'organisation</w:t>
      </w:r>
    </w:p>
    <w:p>
      <w:pPr>
        <w:spacing w:after="600"/>
        <w:jc w:val="center"/>
      </w:pPr>
      <w:r>
        <w:rPr>
          <w:rFonts w:ascii="Arial" w:cs="Arial" w:eastAsia="Arial" w:hAnsi="Arial"/>
          <w:color w:val="2E75B6"/>
          <w:sz w:val="24"/>
          <w:szCs w:val="24"/>
        </w:rPr>
        <w:t xml:space="preserve">Vision, objectifs et feuille de route pour l'intégration responsable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OCDE - Principes sur l'intelligence artificielle (2019, révisés 2024)</w:t>
      </w:r>
    </w:p>
    <w:p>
      <w:pPr>
        <w:pStyle w:val="ListParagraph"/>
        <w:numPr>
          <w:ilvl w:val="0"/>
          <w:numId w:val="2"/>
        </w:numPr>
      </w:pPr>
      <w:r>
        <w:rPr>
          <w:rFonts w:ascii="Arial" w:cs="Arial" w:eastAsia="Arial" w:hAnsi="Arial"/>
          <w:color w:val="404040"/>
          <w:sz w:val="22"/>
          <w:szCs w:val="22"/>
        </w:rPr>
        <w:t xml:space="preserve">UNESCO - Recommandation sur l'éthique de l'intelligence artificielle (2021)</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définit la stratégie de [NOM_ORGANISATION] en matière d'intelligence artificielle. Il établit la vision, les objectifs stratégiques, les principes directeurs et la feuille de route pour l'intégration responsable de l'IA dans les activités de l'organisation.</w:t>
      </w:r>
    </w:p>
    <w:p>
      <w:pPr>
        <w:pStyle w:val="Heading2"/>
      </w:pPr>
      <w:r>
        <w:t xml:space="preserve">Objectifs du document</w:t>
      </w:r>
    </w:p>
    <w:p>
      <w:pPr>
        <w:pStyle w:val="ListParagraph"/>
        <w:numPr>
          <w:ilvl w:val="0"/>
          <w:numId w:val="2"/>
        </w:numPr>
      </w:pPr>
      <w:r>
        <w:rPr>
          <w:rFonts w:ascii="Arial" w:cs="Arial" w:eastAsia="Arial" w:hAnsi="Arial"/>
          <w:color w:val="404040"/>
          <w:sz w:val="22"/>
          <w:szCs w:val="22"/>
        </w:rPr>
        <w:t xml:space="preserve">Définir une vision claire et partagée de l'utilisation de l'IA au sein de [NOM_ORGANISATION]</w:t>
      </w:r>
    </w:p>
    <w:p>
      <w:pPr>
        <w:pStyle w:val="ListParagraph"/>
        <w:numPr>
          <w:ilvl w:val="0"/>
          <w:numId w:val="2"/>
        </w:numPr>
      </w:pPr>
      <w:r>
        <w:rPr>
          <w:rFonts w:ascii="Arial" w:cs="Arial" w:eastAsia="Arial" w:hAnsi="Arial"/>
          <w:color w:val="404040"/>
          <w:sz w:val="22"/>
          <w:szCs w:val="22"/>
        </w:rPr>
        <w:t xml:space="preserve">Établir des objectifs stratégiques mesurables alignés sur la mission de l'organisation</w:t>
      </w:r>
    </w:p>
    <w:p>
      <w:pPr>
        <w:pStyle w:val="ListParagraph"/>
        <w:numPr>
          <w:ilvl w:val="0"/>
          <w:numId w:val="2"/>
        </w:numPr>
      </w:pPr>
      <w:r>
        <w:rPr>
          <w:rFonts w:ascii="Arial" w:cs="Arial" w:eastAsia="Arial" w:hAnsi="Arial"/>
          <w:color w:val="404040"/>
          <w:sz w:val="22"/>
          <w:szCs w:val="22"/>
        </w:rPr>
        <w:t xml:space="preserve">Identifier les domaines prioritaires d'application de l'IA</w:t>
      </w:r>
    </w:p>
    <w:p>
      <w:pPr>
        <w:pStyle w:val="ListParagraph"/>
        <w:numPr>
          <w:ilvl w:val="0"/>
          <w:numId w:val="2"/>
        </w:numPr>
      </w:pPr>
      <w:r>
        <w:rPr>
          <w:rFonts w:ascii="Arial" w:cs="Arial" w:eastAsia="Arial" w:hAnsi="Arial"/>
          <w:color w:val="404040"/>
          <w:sz w:val="22"/>
          <w:szCs w:val="22"/>
        </w:rPr>
        <w:t xml:space="preserve">Fixer un cadre de gouvernance pour la prise de décision en matière d'IA</w:t>
      </w:r>
    </w:p>
    <w:p>
      <w:pPr>
        <w:pStyle w:val="ListParagraph"/>
        <w:numPr>
          <w:ilvl w:val="0"/>
          <w:numId w:val="2"/>
        </w:numPr>
      </w:pPr>
      <w:r>
        <w:rPr>
          <w:rFonts w:ascii="Arial" w:cs="Arial" w:eastAsia="Arial" w:hAnsi="Arial"/>
          <w:color w:val="404040"/>
          <w:sz w:val="22"/>
          <w:szCs w:val="22"/>
        </w:rPr>
        <w:t xml:space="preserve">Prévoir les ressources humaines, financières et technologiques nécessaires</w:t>
      </w:r>
    </w:p>
    <w:p>
      <w:pPr>
        <w:pStyle w:val="ListParagraph"/>
        <w:numPr>
          <w:ilvl w:val="0"/>
          <w:numId w:val="2"/>
        </w:numPr>
      </w:pPr>
      <w:r>
        <w:rPr>
          <w:rFonts w:ascii="Arial" w:cs="Arial" w:eastAsia="Arial" w:hAnsi="Arial"/>
          <w:color w:val="404040"/>
          <w:sz w:val="22"/>
          <w:szCs w:val="22"/>
        </w:rPr>
        <w:t xml:space="preserve">Garantir l'alignement avec les valeurs organisationnelles et les exigences légales</w:t>
      </w:r>
    </w:p>
    <w:p>
      <w:pPr>
        <w:pStyle w:val="Heading2"/>
      </w:pPr>
      <w:r>
        <w:t xml:space="preserve">Périmètre d'application</w:t>
      </w:r>
    </w:p>
    <w:p>
      <w:r>
        <w:rPr>
          <w:rFonts w:ascii="Arial" w:cs="Arial" w:eastAsia="Arial" w:hAnsi="Arial"/>
          <w:color w:val="404040"/>
          <w:sz w:val="22"/>
          <w:szCs w:val="22"/>
        </w:rPr>
        <w:t xml:space="preserve">La présente stratégie s'applique à l'ensemble des unités d'affaires, départements et filiales de [NOM_ORGANISATION]. Elle couvre toutes les formes d'intelligence artificielle, incluant mais sans s'y limiter : l'IA générative, l'apprentissage automatique (machine learning), le traitement du langage naturel, la vision par ordinateur, la robotique intelligente et les systèmes d'aide à la décision.</w:t>
      </w:r>
    </w:p>
    <w:p>
      <w:pPr>
        <w:pStyle w:val="Heading1"/>
      </w:pPr>
      <w:r>
        <w:t xml:space="preserve">Contexte et enjeux</w:t>
      </w:r>
    </w:p>
    <w:p>
      <w:pPr>
        <w:pStyle w:val="Heading2"/>
      </w:pPr>
      <w:r>
        <w:t xml:space="preserve">Contexte technologique</w:t>
      </w:r>
    </w:p>
    <w:p>
      <w:r>
        <w:rPr>
          <w:rFonts w:ascii="Arial" w:cs="Arial" w:eastAsia="Arial" w:hAnsi="Arial"/>
          <w:color w:val="404040"/>
          <w:sz w:val="22"/>
          <w:szCs w:val="22"/>
        </w:rPr>
        <w:t xml:space="preserve">L'intelligence artificielle connaît une accélération sans précédent, portée par les avancées en IA générative, les grands modèles de langage (LLM) et la démocratisation des outils. Pour [NOM_ORGANISATION], opérant dans le secteur [SECTEUR_ACTIVITE], cette évolution représente à la fois des opportunités de transformation et des risques à gérer.</w:t>
      </w:r>
    </w:p>
    <w:p>
      <w:pPr>
        <w:pStyle w:val="Heading2"/>
      </w:pPr>
      <w:r>
        <w:t xml:space="preserve">Contexte réglementaire québécois et canadien</w:t>
      </w:r>
    </w:p>
    <w:p>
      <w:pPr>
        <w:pStyle w:val="ListParagraph"/>
        <w:numPr>
          <w:ilvl w:val="0"/>
          <w:numId w:val="2"/>
        </w:numPr>
      </w:pPr>
      <w:r>
        <w:rPr>
          <w:rFonts w:ascii="Arial" w:cs="Arial" w:eastAsia="Arial" w:hAnsi="Arial"/>
          <w:color w:val="404040"/>
          <w:sz w:val="22"/>
          <w:szCs w:val="22"/>
        </w:rPr>
        <w:t xml:space="preserve">La Loi 25 (Québec) impose des obligations strictes en matière de protection des renseignements personnels, incluant la transparence dans les décisions automatisées</w:t>
      </w:r>
    </w:p>
    <w:p>
      <w:pPr>
        <w:pStyle w:val="ListParagraph"/>
        <w:numPr>
          <w:ilvl w:val="0"/>
          <w:numId w:val="2"/>
        </w:numPr>
      </w:pPr>
      <w:r>
        <w:rPr>
          <w:rFonts w:ascii="Arial" w:cs="Arial" w:eastAsia="Arial" w:hAnsi="Arial"/>
          <w:color w:val="404040"/>
          <w:sz w:val="22"/>
          <w:szCs w:val="22"/>
        </w:rPr>
        <w:t xml:space="preserve">Le projet de loi C-27 (fédéral) introduira la LIAD, créant un cadre spécifique pour les systèmes d'IA à incidence élevée</w:t>
      </w:r>
    </w:p>
    <w:p>
      <w:pPr>
        <w:pStyle w:val="ListParagraph"/>
        <w:numPr>
          <w:ilvl w:val="0"/>
          <w:numId w:val="2"/>
        </w:numPr>
      </w:pPr>
      <w:r>
        <w:rPr>
          <w:rFonts w:ascii="Arial" w:cs="Arial" w:eastAsia="Arial" w:hAnsi="Arial"/>
          <w:color w:val="404040"/>
          <w:sz w:val="22"/>
          <w:szCs w:val="22"/>
        </w:rPr>
        <w:t xml:space="preserve">Le Règlement européen sur l'IA (EU AI Act) s'applique aux organisations traitant des données de résidents de l'UE</w:t>
      </w:r>
    </w:p>
    <w:p>
      <w:pPr>
        <w:pStyle w:val="ListParagraph"/>
        <w:numPr>
          <w:ilvl w:val="0"/>
          <w:numId w:val="2"/>
        </w:numPr>
      </w:pPr>
      <w:r>
        <w:rPr>
          <w:rFonts w:ascii="Arial" w:cs="Arial" w:eastAsia="Arial" w:hAnsi="Arial"/>
          <w:color w:val="404040"/>
          <w:sz w:val="22"/>
          <w:szCs w:val="22"/>
        </w:rPr>
        <w:t xml:space="preserve">Les recommandations du Conseil de l'innovation du Québec encouragent une adoption responsable de l'IA</w:t>
      </w:r>
    </w:p>
    <w:p>
      <w:pPr>
        <w:pStyle w:val="Heading2"/>
      </w:pPr>
      <w:r>
        <w:t xml:space="preserve">Analyse de maturité IA actuelle</w:t>
      </w:r>
    </w:p>
    <w:p>
      <w:r>
        <w:rPr>
          <w:rFonts w:ascii="Arial" w:cs="Arial" w:eastAsia="Arial" w:hAnsi="Arial"/>
          <w:color w:val="404040"/>
          <w:sz w:val="22"/>
          <w:szCs w:val="22"/>
        </w:rPr>
        <w:t xml:space="preserve">[NOM_ORGANISATION] se situe actuellement au niveau [NIVEAU_MATURITE] sur l'échelle de maturité IA (1-Exploration, 2-Expérimentation, 3-Opérationnalisation, 4-Optimisation, 5-Transformation). L'analyse détaillée est présentée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actuel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cible (3 ans)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Stratégie et vision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et infrastructure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Talents et compétences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Gouvernance et éthique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Culture et adoption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Cas d'usage et valeur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w:t>
            </w:r>
          </w:p>
        </w:tc>
      </w:tr>
    </w:tbl>
    <w:p>
      <w:pPr>
        <w:pStyle w:val="Heading1"/>
      </w:pPr>
      <w:r>
        <w:t xml:space="preserve">Vision et mission IA</w:t>
      </w:r>
    </w:p>
    <w:p>
      <w:pPr>
        <w:pStyle w:val="Heading2"/>
      </w:pPr>
      <w:r>
        <w:t xml:space="preserve">Énoncé de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Vision IA de [NOM_ORGANISATION]</w:t>
            </w:r>
          </w:p>
          <w:p>
            <w:pPr>
              <w:spacing w:after="0"/>
            </w:pPr>
            <w:r>
              <w:rPr>
                <w:rFonts w:ascii="Arial" w:cs="Arial" w:eastAsia="Arial" w:hAnsi="Arial"/>
                <w:color w:val="404040"/>
                <w:sz w:val="20"/>
                <w:szCs w:val="20"/>
              </w:rPr>
              <w:t xml:space="preserve">[ENONCE_VISION_IA] - Exemple : D'ici 2028, [NOM_ORGANISATION] sera un leader dans l'utilisation responsable de l'IA pour améliorer l'expérience de ses clients, optimiser ses opérations et créer de la valeur durable pour l'ensemble de ses parties prenantes.</w:t>
            </w:r>
          </w:p>
        </w:tc>
      </w:tr>
    </w:tbl>
    <w:p>
      <w:pPr>
        <w:pStyle w:val="Heading2"/>
      </w:pPr>
      <w:r>
        <w:t xml:space="preserve">Mission IA</w:t>
      </w:r>
    </w:p>
    <w:p>
      <w:r>
        <w:rPr>
          <w:rFonts w:ascii="Arial" w:cs="Arial" w:eastAsia="Arial" w:hAnsi="Arial"/>
          <w:color w:val="404040"/>
          <w:sz w:val="22"/>
          <w:szCs w:val="22"/>
        </w:rPr>
        <w:t xml:space="preserve">[ENONCE_MISSION_IA] - La mission IA de [NOM_ORGANISATION] est d'intégrer l'intelligence artificielle de manière éthique, transparente et sécuritaire dans ses processus clés, en valorisant ses données et en développant les compétences de ses équipes.</w:t>
      </w:r>
    </w:p>
    <w:p>
      <w:pPr>
        <w:pStyle w:val="Heading2"/>
      </w:pPr>
      <w:r>
        <w:t xml:space="preserve">Principes directeurs</w:t>
      </w:r>
    </w:p>
    <w:p>
      <w:pPr>
        <w:pStyle w:val="ListParagraph"/>
        <w:numPr>
          <w:ilvl w:val="0"/>
          <w:numId w:val="3"/>
        </w:numPr>
      </w:pPr>
      <w:r>
        <w:rPr>
          <w:rFonts w:ascii="Arial" w:cs="Arial" w:eastAsia="Arial" w:hAnsi="Arial"/>
          <w:color w:val="404040"/>
          <w:sz w:val="22"/>
          <w:szCs w:val="22"/>
        </w:rPr>
        <w:t xml:space="preserve">Responsabilité : Toute utilisation de l'IA engage la responsabilité de l'organisation et de ses membres</w:t>
      </w:r>
    </w:p>
    <w:p>
      <w:pPr>
        <w:pStyle w:val="ListParagraph"/>
        <w:numPr>
          <w:ilvl w:val="0"/>
          <w:numId w:val="3"/>
        </w:numPr>
      </w:pPr>
      <w:r>
        <w:rPr>
          <w:rFonts w:ascii="Arial" w:cs="Arial" w:eastAsia="Arial" w:hAnsi="Arial"/>
          <w:color w:val="404040"/>
          <w:sz w:val="22"/>
          <w:szCs w:val="22"/>
        </w:rPr>
        <w:t xml:space="preserve">Transparence : Les systèmes d'IA et leurs décisions doivent être explicables et compréhensibles</w:t>
      </w:r>
    </w:p>
    <w:p>
      <w:pPr>
        <w:pStyle w:val="ListParagraph"/>
        <w:numPr>
          <w:ilvl w:val="0"/>
          <w:numId w:val="3"/>
        </w:numPr>
      </w:pPr>
      <w:r>
        <w:rPr>
          <w:rFonts w:ascii="Arial" w:cs="Arial" w:eastAsia="Arial" w:hAnsi="Arial"/>
          <w:color w:val="404040"/>
          <w:sz w:val="22"/>
          <w:szCs w:val="22"/>
        </w:rPr>
        <w:t xml:space="preserve">Équité : L'IA ne doit pas créer ou amplifier de discriminations envers quelque groupe que ce soit</w:t>
      </w:r>
    </w:p>
    <w:p>
      <w:pPr>
        <w:pStyle w:val="ListParagraph"/>
        <w:numPr>
          <w:ilvl w:val="0"/>
          <w:numId w:val="3"/>
        </w:numPr>
      </w:pPr>
      <w:r>
        <w:rPr>
          <w:rFonts w:ascii="Arial" w:cs="Arial" w:eastAsia="Arial" w:hAnsi="Arial"/>
          <w:color w:val="404040"/>
          <w:sz w:val="22"/>
          <w:szCs w:val="22"/>
        </w:rPr>
        <w:t xml:space="preserve">Sécurité : La protection des données et la fiabilité des systèmes sont des priorités absolues</w:t>
      </w:r>
    </w:p>
    <w:p>
      <w:pPr>
        <w:pStyle w:val="ListParagraph"/>
        <w:numPr>
          <w:ilvl w:val="0"/>
          <w:numId w:val="3"/>
        </w:numPr>
      </w:pPr>
      <w:r>
        <w:rPr>
          <w:rFonts w:ascii="Arial" w:cs="Arial" w:eastAsia="Arial" w:hAnsi="Arial"/>
          <w:color w:val="404040"/>
          <w:sz w:val="22"/>
          <w:szCs w:val="22"/>
        </w:rPr>
        <w:t xml:space="preserve">Valeur humaine : L'IA est un outil au service des personnes, pas un substitut au jugement humain</w:t>
      </w:r>
    </w:p>
    <w:p>
      <w:pPr>
        <w:pStyle w:val="ListParagraph"/>
        <w:numPr>
          <w:ilvl w:val="0"/>
          <w:numId w:val="3"/>
        </w:numPr>
      </w:pPr>
      <w:r>
        <w:rPr>
          <w:rFonts w:ascii="Arial" w:cs="Arial" w:eastAsia="Arial" w:hAnsi="Arial"/>
          <w:color w:val="404040"/>
          <w:sz w:val="22"/>
          <w:szCs w:val="22"/>
        </w:rPr>
        <w:t xml:space="preserve">Innovation responsable : L'exploration de nouvelles technologies se fait dans le respect du cadre éthique et légal</w:t>
      </w:r>
    </w:p>
    <w:p>
      <w:pPr>
        <w:pStyle w:val="Heading1"/>
      </w:pPr>
      <w:r>
        <w:t xml:space="preserve">Objectifs stratégiques</w:t>
      </w:r>
    </w:p>
    <w:p>
      <w:r>
        <w:rPr>
          <w:rFonts w:ascii="Arial" w:cs="Arial" w:eastAsia="Arial" w:hAnsi="Arial"/>
          <w:color w:val="404040"/>
          <w:sz w:val="22"/>
          <w:szCs w:val="22"/>
        </w:rPr>
        <w:t xml:space="preserve">Les objectifs stratégiques IA de [NOM_ORGANISATION] pour la période [ANNEE_DEBUT]-[ANNEE_FIN] sont les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200"/>
        <w:gridCol w:w="12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Objectif</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 clé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Cible</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OS1 - Efficacité opérationnelle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Automatiser les processus répétitifs à faible valeur ajoutée grâce à l'IA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d'automatisation des processus cibles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[CIBLE_OS1]%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OS2 - Expérience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Améliorer la qualité et la personnalisation des services offerts aux clients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satisfaction client (NPS)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+[CIBLE_OS2] points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OS3 - Prise de décision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Enrichir la prise de décision stratégique par des analyses prédictives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décisions soutenues par l'IA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[CIBLE_OS3]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OS4 - Compétences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Développer les compétences IA de l'ensemble du personnel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employés formés à l'IA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[CIBLE_OS4]%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OS5 - Gouvernance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un cadre de gouvernance IA complet et opérationnel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documents de gouvernance déployés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OS6 - Innovation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Lancer [NOMBRE_PROJETS] projets pilotes IA par année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projets pilotes lancés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[CIBLE_OS6]/an</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[ECHEANCE_OS6]</w:t>
            </w:r>
          </w:p>
        </w:tc>
      </w:tr>
    </w:tbl>
    <w:p>
      <w:pPr>
        <w:pStyle w:val="Heading1"/>
      </w:pPr>
      <w:r>
        <w:t xml:space="preserve">Domaines prioritaires d'application</w:t>
      </w:r>
    </w:p>
    <w:p>
      <w:r>
        <w:rPr>
          <w:rFonts w:ascii="Arial" w:cs="Arial" w:eastAsia="Arial" w:hAnsi="Arial"/>
          <w:color w:val="404040"/>
          <w:sz w:val="22"/>
          <w:szCs w:val="22"/>
        </w:rPr>
        <w:t xml:space="preserve">Les domaines suivants ont été identifiés comme prioritaires pour le déploiement de l'IA au sein de [NOM_ORGANISATION] :</w:t>
      </w:r>
    </w:p>
    <w:p>
      <w:pPr>
        <w:pStyle w:val="Heading2"/>
      </w:pPr>
      <w:r>
        <w:t xml:space="preserve">[DOMAINE_PRIORITAIRE_1]</w:t>
      </w:r>
    </w:p>
    <w:p>
      <w:r>
        <w:rPr>
          <w:rFonts w:ascii="Arial" w:cs="Arial" w:eastAsia="Arial" w:hAnsi="Arial"/>
          <w:color w:val="404040"/>
          <w:sz w:val="22"/>
          <w:szCs w:val="22"/>
        </w:rPr>
        <w:t xml:space="preserve">[DESCRIPTION_DOMAINE_1] - Décrire les cas d'usage envisagés, les bénéfices attendus et les données disponibles dans ce domaine.</w:t>
      </w:r>
    </w:p>
    <w:p>
      <w:pPr>
        <w:pStyle w:val="Heading2"/>
      </w:pPr>
      <w:r>
        <w:t xml:space="preserve">[DOMAINE_PRIORITAIRE_2]</w:t>
      </w:r>
    </w:p>
    <w:p>
      <w:r>
        <w:rPr>
          <w:rFonts w:ascii="Arial" w:cs="Arial" w:eastAsia="Arial" w:hAnsi="Arial"/>
          <w:color w:val="404040"/>
          <w:sz w:val="22"/>
          <w:szCs w:val="22"/>
        </w:rPr>
        <w:t xml:space="preserve">[DESCRIPTION_DOMAINE_2] - Décrire les cas d'usage envisagés, les bénéfices attendus et les données disponibles dans ce domaine.</w:t>
      </w:r>
    </w:p>
    <w:p>
      <w:pPr>
        <w:pStyle w:val="Heading2"/>
      </w:pPr>
      <w:r>
        <w:t xml:space="preserve">[DOMAINE_PRIORITAIRE_3]</w:t>
      </w:r>
    </w:p>
    <w:p>
      <w:r>
        <w:rPr>
          <w:rFonts w:ascii="Arial" w:cs="Arial" w:eastAsia="Arial" w:hAnsi="Arial"/>
          <w:color w:val="404040"/>
          <w:sz w:val="22"/>
          <w:szCs w:val="22"/>
        </w:rPr>
        <w:t xml:space="preserve">[DESCRIPTION_DOMAINE_3] - Décrire les cas d'usage envisagés, les bénéfices attendus et les données disponibles dans ce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Conseil pour l'agent</w:t>
            </w:r>
          </w:p>
          <w:p>
            <w:pPr>
              <w:spacing w:after="0"/>
            </w:pPr>
            <w:r>
              <w:rPr>
                <w:rFonts w:ascii="Arial" w:cs="Arial" w:eastAsia="Arial" w:hAnsi="Arial"/>
                <w:color w:val="404040"/>
                <w:sz w:val="20"/>
                <w:szCs w:val="20"/>
              </w:rPr>
              <w:t xml:space="preserve">Identifier les domaines où l'organisation possède déjà des données structurées et de qualité, où le retour sur investissement est le plus rapide, et où les risques éthiques et réglementaires sont les plus faibles.</w:t>
            </w:r>
          </w:p>
        </w:tc>
      </w:tr>
    </w:tbl>
    <w:p>
      <w:pPr>
        <w:pStyle w:val="Heading1"/>
      </w:pPr>
      <w:r>
        <w:t xml:space="preserve">Modèle de gouvernance IA</w:t>
      </w:r>
    </w:p>
    <w:p>
      <w:pPr>
        <w:pStyle w:val="Heading2"/>
      </w:pPr>
      <w:r>
        <w:t xml:space="preserve">Structure de gouvernance</w:t>
      </w:r>
    </w:p>
    <w:p>
      <w:r>
        <w:rPr>
          <w:rFonts w:ascii="Arial" w:cs="Arial" w:eastAsia="Arial" w:hAnsi="Arial"/>
          <w:color w:val="404040"/>
          <w:sz w:val="22"/>
          <w:szCs w:val="22"/>
        </w:rPr>
        <w:t xml:space="preserve">La gouvernance de l'IA au sein de [NOM_ORGANISATION] repose sur une structure à trois niveaux :</w:t>
      </w:r>
    </w:p>
    <w:p>
      <w:pPr>
        <w:pStyle w:val="ListParagraph"/>
        <w:numPr>
          <w:ilvl w:val="0"/>
          <w:numId w:val="3"/>
        </w:numPr>
      </w:pPr>
      <w:r>
        <w:rPr>
          <w:rFonts w:ascii="Arial" w:cs="Arial" w:eastAsia="Arial" w:hAnsi="Arial"/>
          <w:color w:val="404040"/>
          <w:sz w:val="22"/>
          <w:szCs w:val="22"/>
        </w:rPr>
        <w:t xml:space="preserve">Niveau stratégique : Le Comité de gouvernance IA, présidé par [PRESIDENT_COMITE], définit les orientations et approuve les investissements majeurs</w:t>
      </w:r>
    </w:p>
    <w:p>
      <w:pPr>
        <w:pStyle w:val="ListParagraph"/>
        <w:numPr>
          <w:ilvl w:val="0"/>
          <w:numId w:val="3"/>
        </w:numPr>
      </w:pPr>
      <w:r>
        <w:rPr>
          <w:rFonts w:ascii="Arial" w:cs="Arial" w:eastAsia="Arial" w:hAnsi="Arial"/>
          <w:color w:val="404040"/>
          <w:sz w:val="22"/>
          <w:szCs w:val="22"/>
        </w:rPr>
        <w:t xml:space="preserve">Niveau tactique : Le Bureau IA (AI Office), dirigé par le Responsable IA, coordonne les projets et veille à la conformité</w:t>
      </w:r>
    </w:p>
    <w:p>
      <w:pPr>
        <w:pStyle w:val="ListParagraph"/>
        <w:numPr>
          <w:ilvl w:val="0"/>
          <w:numId w:val="3"/>
        </w:numPr>
      </w:pPr>
      <w:r>
        <w:rPr>
          <w:rFonts w:ascii="Arial" w:cs="Arial" w:eastAsia="Arial" w:hAnsi="Arial"/>
          <w:color w:val="404040"/>
          <w:sz w:val="22"/>
          <w:szCs w:val="22"/>
        </w:rPr>
        <w:t xml:space="preserve">Niveau opérationnel : Les référents IA de chaque département assurent l'application des politiques et le support de proximité</w:t>
      </w:r>
    </w:p>
    <w:p>
      <w:pPr>
        <w:pStyle w:val="Heading2"/>
      </w:pPr>
      <w:r>
        <w:t xml:space="preserve">Processus décisionnels</w:t>
      </w:r>
    </w:p>
    <w:p>
      <w:r>
        <w:rPr>
          <w:rFonts w:ascii="Arial" w:cs="Arial" w:eastAsia="Arial" w:hAnsi="Arial"/>
          <w:color w:val="404040"/>
          <w:sz w:val="22"/>
          <w:szCs w:val="22"/>
        </w:rPr>
        <w:t xml:space="preserve">Les décisions relatives à l'IA suivent un processus structuré incluant l'évaluation éthique, l'analyse de risques, la validation technique et l'approbation budgétaire. Tout projet IA doit être soumis au processus d'approbation décrit dans le document 'Processus d'approbation des projets IA'.</w:t>
      </w:r>
    </w:p>
    <w:p>
      <w:pPr>
        <w:pStyle w:val="Heading1"/>
      </w:pPr>
      <w:r>
        <w:t xml:space="preserve">Investissements et ressources</w:t>
      </w:r>
    </w:p>
    <w:p>
      <w:pPr>
        <w:pStyle w:val="Heading2"/>
      </w:pPr>
      <w:r>
        <w:t xml:space="preserve">Budget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Poste budgétaire</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Année 1</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Année 2</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Année 3</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Total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Infrastructure et outils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[BUDGET_INFRA_A1]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[BUDGET_INFRA_A2]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[BUDGET_INFRA_A3]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[TOTAL_INFRA]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Licences et abonnements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[BUDGET_LICENCES_A1]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[BUDGET_LICENCES_A2]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[BUDGET_LICENCES_A3]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[TOTAL_LICENCES]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et développement des compétences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[BUDGET_FORMATION_A1]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[BUDGET_FORMATION_A2]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[BUDGET_FORMATION_A3]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[TOTAL_FORMATION]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Recrutement et consultants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[BUDGET_RH_A1]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[BUDGET_RH_A2]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[BUDGET_RH_A3]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[TOTAL_RH]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Projets pilotes et déploiement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[BUDGET_PROJETS_A1]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[BUDGET_PROJETS_A2]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[BUDGET_PROJETS_A3]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[TOTAL_PROJETS]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[TOTAL_A1]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[TOTAL_A2]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[TOTAL_A3]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[GRAND_TOTAL]</w:t>
            </w:r>
          </w:p>
        </w:tc>
      </w:tr>
    </w:tbl>
    <w:p>
      <w:pPr>
        <w:pStyle w:val="Heading2"/>
      </w:pPr>
      <w:r>
        <w:t xml:space="preserve">Ressources humaines</w:t>
      </w:r>
    </w:p>
    <w:p>
      <w:r>
        <w:rPr>
          <w:rFonts w:ascii="Arial" w:cs="Arial" w:eastAsia="Arial" w:hAnsi="Arial"/>
          <w:color w:val="404040"/>
          <w:sz w:val="22"/>
          <w:szCs w:val="22"/>
        </w:rPr>
        <w:t xml:space="preserve">Pour atteindre les objectifs de la stratégie, [NOM_ORGANISATION] prévoit :</w:t>
      </w:r>
    </w:p>
    <w:p>
      <w:pPr>
        <w:pStyle w:val="ListParagraph"/>
        <w:numPr>
          <w:ilvl w:val="0"/>
          <w:numId w:val="2"/>
        </w:numPr>
      </w:pPr>
      <w:r>
        <w:rPr>
          <w:rFonts w:ascii="Arial" w:cs="Arial" w:eastAsia="Arial" w:hAnsi="Arial"/>
          <w:color w:val="404040"/>
          <w:sz w:val="22"/>
          <w:szCs w:val="22"/>
        </w:rPr>
        <w:t xml:space="preserve">Nomination d'un Responsable IA (Chief AI Officer ou équivalent)</w:t>
      </w:r>
    </w:p>
    <w:p>
      <w:pPr>
        <w:pStyle w:val="ListParagraph"/>
        <w:numPr>
          <w:ilvl w:val="0"/>
          <w:numId w:val="2"/>
        </w:numPr>
      </w:pPr>
      <w:r>
        <w:rPr>
          <w:rFonts w:ascii="Arial" w:cs="Arial" w:eastAsia="Arial" w:hAnsi="Arial"/>
          <w:color w:val="404040"/>
          <w:sz w:val="22"/>
          <w:szCs w:val="22"/>
        </w:rPr>
        <w:t xml:space="preserve">Constitution d'une équipe IA dédiée de [NOMBRE_ETP] ETP</w:t>
      </w:r>
    </w:p>
    <w:p>
      <w:pPr>
        <w:pStyle w:val="ListParagraph"/>
        <w:numPr>
          <w:ilvl w:val="0"/>
          <w:numId w:val="2"/>
        </w:numPr>
      </w:pPr>
      <w:r>
        <w:rPr>
          <w:rFonts w:ascii="Arial" w:cs="Arial" w:eastAsia="Arial" w:hAnsi="Arial"/>
          <w:color w:val="404040"/>
          <w:sz w:val="22"/>
          <w:szCs w:val="22"/>
        </w:rPr>
        <w:t xml:space="preserve">Désignation de référents IA dans chaque département</w:t>
      </w:r>
    </w:p>
    <w:p>
      <w:pPr>
        <w:pStyle w:val="ListParagraph"/>
        <w:numPr>
          <w:ilvl w:val="0"/>
          <w:numId w:val="2"/>
        </w:numPr>
      </w:pPr>
      <w:r>
        <w:rPr>
          <w:rFonts w:ascii="Arial" w:cs="Arial" w:eastAsia="Arial" w:hAnsi="Arial"/>
          <w:color w:val="404040"/>
          <w:sz w:val="22"/>
          <w:szCs w:val="22"/>
        </w:rPr>
        <w:t xml:space="preserve">Programme de formation continue pour [NOMBRE_EMPLOYES_FORMES] employés</w:t>
      </w:r>
    </w:p>
    <w:p>
      <w:pPr>
        <w:pStyle w:val="ListParagraph"/>
        <w:numPr>
          <w:ilvl w:val="0"/>
          <w:numId w:val="2"/>
        </w:numPr>
      </w:pPr>
      <w:r>
        <w:rPr>
          <w:rFonts w:ascii="Arial" w:cs="Arial" w:eastAsia="Arial" w:hAnsi="Arial"/>
          <w:color w:val="404040"/>
          <w:sz w:val="22"/>
          <w:szCs w:val="22"/>
        </w:rPr>
        <w:t xml:space="preserve">Partenariats avec [NOMBRE_PARTENAIRES] établissements d'enseignement ou de recherche</w:t>
      </w:r>
    </w:p>
    <w:p>
      <w:pPr>
        <w:pStyle w:val="Heading1"/>
      </w:pPr>
      <w:r>
        <w:t xml:space="preserve">Feuille de route</w:t>
      </w:r>
    </w:p>
    <w:p>
      <w:r>
        <w:rPr>
          <w:rFonts w:ascii="Arial" w:cs="Arial" w:eastAsia="Arial" w:hAnsi="Arial"/>
          <w:color w:val="404040"/>
          <w:sz w:val="22"/>
          <w:szCs w:val="22"/>
        </w:rPr>
        <w:t xml:space="preserve">La feuille de route IA de [NOM_ORGANISATION] se décline en trois horizons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000"/>
        <w:gridCol w:w="31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Horizon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Période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Objectifs clés</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Livrables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Court terme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[ANNEE_DEBUT] - [ANNEE_DEBUT+1]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Établir les fondations : gouvernance, formation de base, premiers cas d'usage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gouvernance IA, Charte IA, premiers projets pilotes, plan de formation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terme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[ANNEE_DEBUT+1] - [ANNEE_DEBUT+2]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Structurer et développer : déployer les systèmes IA approuvés, renforcer les compétences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IA en production, documentation technique complète, indicateurs de performance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Long terme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[ANNEE_DEBUT+2] - [ANNEE_FIN]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Optimiser et innover : atteindre la maturité, explorer les technologies émergentes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Transformation IA des processus clés, culture IA ancrée, amélioration continue</w:t>
            </w:r>
          </w:p>
        </w:tc>
      </w:tr>
    </w:tbl>
    <w:p>
      <w:pPr>
        <w:pStyle w:val="Heading1"/>
      </w:pPr>
      <w:r>
        <w:t xml:space="preserve">Gestion des risques stratégiques</w:t>
      </w:r>
    </w:p>
    <w:p>
      <w:r>
        <w:rPr>
          <w:rFonts w:ascii="Arial" w:cs="Arial" w:eastAsia="Arial" w:hAnsi="Arial"/>
          <w:color w:val="404040"/>
          <w:sz w:val="22"/>
          <w:szCs w:val="22"/>
        </w:rPr>
        <w:t xml:space="preserve">Les principaux risques stratégiques liés à l'IA et les mesures d'atténuation prévues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Probabilité</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Mesure d'atténuation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Résistance au changement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Programme de gestion du changement, communication proactive, formation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Manque de compétences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formation, recrutement ciblé, partenariats académiques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Non-conformité réglementaire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juridique, audits réguliers, comité de conformité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et discrimination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éthique, tests de biais, supervision humaine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Failles de sécurité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sécurité IA, tests de pénétration, monitoring continu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Dépendance aux fournisseurs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Diversification, clauses contractuelles, compétences internes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Dépassement budgétaire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Suivi budgétaire rigoureux, approche agile par phases</w:t>
            </w:r>
          </w:p>
        </w:tc>
      </w:tr>
    </w:tbl>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Référents IA départementaux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Servent de point de contact IA dans leur unité, remontent les besoins et assurent l'application des politiques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Data / Science des données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Développe, entraîne et maintient les modèles IA, assure la qualité des données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Indicateurs de suivi</w:t>
      </w:r>
    </w:p>
    <w:p>
      <w:r>
        <w:rPr>
          <w:rFonts w:ascii="Arial" w:cs="Arial" w:eastAsia="Arial" w:hAnsi="Arial"/>
          <w:color w:val="404040"/>
          <w:sz w:val="22"/>
          <w:szCs w:val="22"/>
        </w:rPr>
        <w:t xml:space="preserve">Le suivi de la stratégie IA repose sur les indicateurs suivants, présentés trimestriellement au Comité de gouvernance 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 de mesure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cas d'usage IA en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des systèmes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d'adoption des outils IA par les employés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Enquête interne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des projets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financière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d'incidents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des incidents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maturité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Auto-évaluation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du personnel formé à l'IA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aux politiques 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interne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100%</w:t>
            </w:r>
          </w:p>
        </w:tc>
      </w:tr>
    </w:tbl>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Maturité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 capacité d'une organisation à intégrer, gérer et tirer de la valeur de l'intelligence artificielle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Feuille de route (Roadmap)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haut niveau illustrant les jalons et livrables prévus sur une période donnée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Stratégie IA de l'organisation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2026-03-05T02:16:53.711Z</dcterms:created>
  <dcterms:modified xsi:type="dcterms:W3CDTF">2026-03-05T02:16:53.712Z</dcterms:modified>
</cp:coreProperties>
</file>

<file path=docProps/custom.xml><?xml version="1.0" encoding="utf-8"?>
<Properties xmlns="http://schemas.openxmlformats.org/officeDocument/2006/custom-properties" xmlns:vt="http://schemas.openxmlformats.org/officeDocument/2006/docPropsVTypes"/>
</file>