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de gouvernance IA</w:t>
      </w:r>
    </w:p>
    <w:p>
      <w:pPr>
        <w:spacing w:after="600"/>
        <w:jc w:val="center"/>
      </w:pPr>
      <w:r>
        <w:rPr>
          <w:rFonts w:ascii="Arial" w:cs="Arial" w:eastAsia="Arial" w:hAnsi="Arial"/>
          <w:color w:val="2E75B6"/>
          <w:sz w:val="24"/>
          <w:szCs w:val="24"/>
        </w:rPr>
        <w:t xml:space="preserve">Cadre de gouvernance, structures décisionnelles et mécanismes de supervision</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La présente politique établit le cadre de gouvernance de l'intelligence artificielle au sein de [NOM_ORGANISATION]. Elle définit les structures décisionnelles, les processus de supervision, les mécanismes de contrôle et les responsabilités des différentes parties prenantes impliquées dans le cycle de vie des systèmes d'IA.</w:t>
      </w:r>
    </w:p>
    <w:p>
      <w:pPr>
        <w:pStyle w:val="Heading2"/>
      </w:pPr>
      <w:r>
        <w:t xml:space="preserve">Objectifs de la politique</w:t>
      </w:r>
    </w:p>
    <w:p>
      <w:pPr>
        <w:pStyle w:val="ListParagraph"/>
        <w:numPr>
          <w:ilvl w:val="0"/>
          <w:numId w:val="2"/>
        </w:numPr>
      </w:pPr>
      <w:r>
        <w:rPr>
          <w:rFonts w:ascii="Arial" w:cs="Arial" w:eastAsia="Arial" w:hAnsi="Arial"/>
          <w:color w:val="404040"/>
          <w:sz w:val="22"/>
          <w:szCs w:val="22"/>
        </w:rPr>
        <w:t xml:space="preserve">Définir une structure de gouvernance claire avec des rôles et responsabilités bien délimités</w:t>
      </w:r>
    </w:p>
    <w:p>
      <w:pPr>
        <w:pStyle w:val="ListParagraph"/>
        <w:numPr>
          <w:ilvl w:val="0"/>
          <w:numId w:val="2"/>
        </w:numPr>
      </w:pPr>
      <w:r>
        <w:rPr>
          <w:rFonts w:ascii="Arial" w:cs="Arial" w:eastAsia="Arial" w:hAnsi="Arial"/>
          <w:color w:val="404040"/>
          <w:sz w:val="22"/>
          <w:szCs w:val="22"/>
        </w:rPr>
        <w:t xml:space="preserve">Établir les processus d'approbation, de supervision et de contrôle des systèmes IA</w:t>
      </w:r>
    </w:p>
    <w:p>
      <w:pPr>
        <w:pStyle w:val="ListParagraph"/>
        <w:numPr>
          <w:ilvl w:val="0"/>
          <w:numId w:val="2"/>
        </w:numPr>
      </w:pPr>
      <w:r>
        <w:rPr>
          <w:rFonts w:ascii="Arial" w:cs="Arial" w:eastAsia="Arial" w:hAnsi="Arial"/>
          <w:color w:val="404040"/>
          <w:sz w:val="22"/>
          <w:szCs w:val="22"/>
        </w:rPr>
        <w:t xml:space="preserve">Assurer la conformité avec la Loi 25, le projet de loi C-27/LIAD et les normes ISO applicables</w:t>
      </w:r>
    </w:p>
    <w:p>
      <w:pPr>
        <w:pStyle w:val="ListParagraph"/>
        <w:numPr>
          <w:ilvl w:val="0"/>
          <w:numId w:val="2"/>
        </w:numPr>
      </w:pPr>
      <w:r>
        <w:rPr>
          <w:rFonts w:ascii="Arial" w:cs="Arial" w:eastAsia="Arial" w:hAnsi="Arial"/>
          <w:color w:val="404040"/>
          <w:sz w:val="22"/>
          <w:szCs w:val="22"/>
        </w:rPr>
        <w:t xml:space="preserve">Garantir la transparence, la redevabilité et la traçabilité des décisions liées à l'IA</w:t>
      </w:r>
    </w:p>
    <w:p>
      <w:pPr>
        <w:pStyle w:val="ListParagraph"/>
        <w:numPr>
          <w:ilvl w:val="0"/>
          <w:numId w:val="2"/>
        </w:numPr>
      </w:pPr>
      <w:r>
        <w:rPr>
          <w:rFonts w:ascii="Arial" w:cs="Arial" w:eastAsia="Arial" w:hAnsi="Arial"/>
          <w:color w:val="404040"/>
          <w:sz w:val="22"/>
          <w:szCs w:val="22"/>
        </w:rPr>
        <w:t xml:space="preserve">Intégrer la gestion des risques IA dans le cadre global de gestion des risques de l'organisation</w:t>
      </w:r>
    </w:p>
    <w:p>
      <w:pPr>
        <w:pStyle w:val="Heading2"/>
      </w:pPr>
      <w:r>
        <w:t xml:space="preserve">Périmètre</w:t>
      </w:r>
    </w:p>
    <w:p>
      <w:r>
        <w:rPr>
          <w:rFonts w:ascii="Arial" w:cs="Arial" w:eastAsia="Arial" w:hAnsi="Arial"/>
          <w:color w:val="404040"/>
          <w:sz w:val="22"/>
          <w:szCs w:val="22"/>
        </w:rPr>
        <w:t xml:space="preserve">Cette politique s'applique à tout système d'IA développé, acquis, utilisé ou désaffecté par [NOM_ORGANISATION], qu'il soit hébergé en interne ou fourni par un tiers. Cela inclut les outils d'IA générative (ChatGPT, Claude, Copilot, etc.), les modèles prédictifs, les systèmes d'aide à la décision et tout algorithme d'apprentissage automatique.</w:t>
      </w:r>
    </w:p>
    <w:p>
      <w:pPr>
        <w:pStyle w:val="Heading1"/>
      </w:pPr>
      <w:r>
        <w:t xml:space="preserve">Principes de gouvernance</w:t>
      </w:r>
    </w:p>
    <w:p>
      <w:pPr>
        <w:pStyle w:val="Heading2"/>
      </w:pPr>
      <w:r>
        <w:t xml:space="preserve">Redevabilité</w:t>
      </w:r>
    </w:p>
    <w:p>
      <w:r>
        <w:rPr>
          <w:rFonts w:ascii="Arial" w:cs="Arial" w:eastAsia="Arial" w:hAnsi="Arial"/>
          <w:color w:val="404040"/>
          <w:sz w:val="22"/>
          <w:szCs w:val="22"/>
        </w:rPr>
        <w:t xml:space="preserve">Chaque système d'IA en usage au sein de [NOM_ORGANISATION] doit avoir un propriétaire identifié qui est responsable de son fonctionnement, de sa conformité et de ses impacts. La chaîne de responsabilité est clairement documentée dans le registre des systèmes IA.</w:t>
      </w:r>
    </w:p>
    <w:p>
      <w:pPr>
        <w:pStyle w:val="Heading2"/>
      </w:pPr>
      <w:r>
        <w:t xml:space="preserve">Proportionnalité</w:t>
      </w:r>
    </w:p>
    <w:p>
      <w:r>
        <w:rPr>
          <w:rFonts w:ascii="Arial" w:cs="Arial" w:eastAsia="Arial" w:hAnsi="Arial"/>
          <w:color w:val="404040"/>
          <w:sz w:val="22"/>
          <w:szCs w:val="22"/>
        </w:rPr>
        <w:t xml:space="preserve">Le niveau de gouvernance appliqué à un système d'IA est proportionnel au niveau de risque qu'il présente. Les systèmes à haut risque (décisions impactant les droits des personnes, la santé, la sécurité ou l'accès aux services) font l'objet d'un encadrement renforcé.</w:t>
      </w:r>
    </w:p>
    <w:p>
      <w:pPr>
        <w:pStyle w:val="Heading2"/>
      </w:pPr>
      <w:r>
        <w:t xml:space="preserve">Transparence et traçabilité</w:t>
      </w:r>
    </w:p>
    <w:p>
      <w:r>
        <w:rPr>
          <w:rFonts w:ascii="Arial" w:cs="Arial" w:eastAsia="Arial" w:hAnsi="Arial"/>
          <w:color w:val="404040"/>
          <w:sz w:val="22"/>
          <w:szCs w:val="22"/>
        </w:rPr>
        <w:t xml:space="preserve">Toutes les décisions relatives aux systèmes d'IA doivent être documentées et traçables. Les registres et journaux sont maintenus conformément aux exigences de la Loi 25 et du futur cadre fédéral (C-27/LIAD).</w:t>
      </w:r>
    </w:p>
    <w:p>
      <w:pPr>
        <w:pStyle w:val="Heading2"/>
      </w:pPr>
      <w:r>
        <w:t xml:space="preserve">Amélioration continue</w:t>
      </w:r>
    </w:p>
    <w:p>
      <w:r>
        <w:rPr>
          <w:rFonts w:ascii="Arial" w:cs="Arial" w:eastAsia="Arial" w:hAnsi="Arial"/>
          <w:color w:val="404040"/>
          <w:sz w:val="22"/>
          <w:szCs w:val="22"/>
        </w:rPr>
        <w:t xml:space="preserve">Le cadre de gouvernance est régulièrement évalué et ajusté en fonction de l'évolution des technologies, des réglementations et des meilleures pratiques.</w:t>
      </w:r>
    </w:p>
    <w:p>
      <w:pPr>
        <w:pStyle w:val="Heading1"/>
      </w:pPr>
      <w:r>
        <w:t xml:space="preserve">Structure de gouvernance</w:t>
      </w:r>
    </w:p>
    <w:p>
      <w:pPr>
        <w:pStyle w:val="Heading2"/>
      </w:pPr>
      <w:r>
        <w:t xml:space="preserve">Comité de gouvernance IA</w:t>
      </w:r>
    </w:p>
    <w:p>
      <w:r>
        <w:rPr>
          <w:rFonts w:ascii="Arial" w:cs="Arial" w:eastAsia="Arial" w:hAnsi="Arial"/>
          <w:color w:val="404040"/>
          <w:sz w:val="22"/>
          <w:szCs w:val="22"/>
        </w:rPr>
        <w:t xml:space="preserve">Le Comité de gouvernance IA est l'instance suprême de décision en matière d'IA. Il est présidé par [PRESIDENT_COMITE] et se réunit [FREQUENCE_REUNIONS] (minimum trimestrielle).</w:t>
      </w:r>
    </w:p>
    <w:p>
      <w:pPr>
        <w:pStyle w:val="Heading3"/>
      </w:pPr>
      <w:r>
        <w:t xml:space="preserve">Composition</w:t>
      </w:r>
    </w:p>
    <w:p>
      <w:pPr>
        <w:pStyle w:val="ListParagraph"/>
        <w:numPr>
          <w:ilvl w:val="0"/>
          <w:numId w:val="2"/>
        </w:numPr>
      </w:pPr>
      <w:r>
        <w:rPr>
          <w:rFonts w:ascii="Arial" w:cs="Arial" w:eastAsia="Arial" w:hAnsi="Arial"/>
          <w:color w:val="404040"/>
          <w:sz w:val="22"/>
          <w:szCs w:val="22"/>
        </w:rPr>
        <w:t xml:space="preserve">Président(e) : [PRESIDENT_COMITE] - [TITRE_PRESIDENT]</w:t>
      </w:r>
    </w:p>
    <w:p>
      <w:pPr>
        <w:pStyle w:val="ListParagraph"/>
        <w:numPr>
          <w:ilvl w:val="0"/>
          <w:numId w:val="2"/>
        </w:numPr>
      </w:pPr>
      <w:r>
        <w:rPr>
          <w:rFonts w:ascii="Arial" w:cs="Arial" w:eastAsia="Arial" w:hAnsi="Arial"/>
          <w:color w:val="404040"/>
          <w:sz w:val="22"/>
          <w:szCs w:val="22"/>
        </w:rPr>
        <w:t xml:space="preserve">Vice-président(e) : [VP_COMITE] - [TITRE_VP]</w:t>
      </w:r>
    </w:p>
    <w:p>
      <w:pPr>
        <w:pStyle w:val="ListParagraph"/>
        <w:numPr>
          <w:ilvl w:val="0"/>
          <w:numId w:val="2"/>
        </w:numPr>
      </w:pPr>
      <w:r>
        <w:rPr>
          <w:rFonts w:ascii="Arial" w:cs="Arial" w:eastAsia="Arial" w:hAnsi="Arial"/>
          <w:color w:val="404040"/>
          <w:sz w:val="22"/>
          <w:szCs w:val="22"/>
        </w:rPr>
        <w:t xml:space="preserve">Responsable IA : [RESPONSABLE_IA]</w:t>
      </w:r>
    </w:p>
    <w:p>
      <w:pPr>
        <w:pStyle w:val="ListParagraph"/>
        <w:numPr>
          <w:ilvl w:val="0"/>
          <w:numId w:val="2"/>
        </w:numPr>
      </w:pPr>
      <w:r>
        <w:rPr>
          <w:rFonts w:ascii="Arial" w:cs="Arial" w:eastAsia="Arial" w:hAnsi="Arial"/>
          <w:color w:val="404040"/>
          <w:sz w:val="22"/>
          <w:szCs w:val="22"/>
        </w:rPr>
        <w:t xml:space="preserve">Responsable de la protection des renseignements personnels (DPO) : [DPO]</w:t>
      </w:r>
    </w:p>
    <w:p>
      <w:pPr>
        <w:pStyle w:val="ListParagraph"/>
        <w:numPr>
          <w:ilvl w:val="0"/>
          <w:numId w:val="2"/>
        </w:numPr>
      </w:pPr>
      <w:r>
        <w:rPr>
          <w:rFonts w:ascii="Arial" w:cs="Arial" w:eastAsia="Arial" w:hAnsi="Arial"/>
          <w:color w:val="404040"/>
          <w:sz w:val="22"/>
          <w:szCs w:val="22"/>
        </w:rPr>
        <w:t xml:space="preserve">Directeur(trice) des technologies : [DIRECTEUR_TI]</w:t>
      </w:r>
    </w:p>
    <w:p>
      <w:pPr>
        <w:pStyle w:val="ListParagraph"/>
        <w:numPr>
          <w:ilvl w:val="0"/>
          <w:numId w:val="2"/>
        </w:numPr>
      </w:pPr>
      <w:r>
        <w:rPr>
          <w:rFonts w:ascii="Arial" w:cs="Arial" w:eastAsia="Arial" w:hAnsi="Arial"/>
          <w:color w:val="404040"/>
          <w:sz w:val="22"/>
          <w:szCs w:val="22"/>
        </w:rPr>
        <w:t xml:space="preserve">Directeur(trice) des affaires juridiques : [DIRECTEUR_JURIDIQUE]</w:t>
      </w:r>
    </w:p>
    <w:p>
      <w:pPr>
        <w:pStyle w:val="ListParagraph"/>
        <w:numPr>
          <w:ilvl w:val="0"/>
          <w:numId w:val="2"/>
        </w:numPr>
      </w:pPr>
      <w:r>
        <w:rPr>
          <w:rFonts w:ascii="Arial" w:cs="Arial" w:eastAsia="Arial" w:hAnsi="Arial"/>
          <w:color w:val="404040"/>
          <w:sz w:val="22"/>
          <w:szCs w:val="22"/>
        </w:rPr>
        <w:t xml:space="preserve">Directeur(trice) des ressources humaines : [DIRECTEUR_RH]</w:t>
      </w:r>
    </w:p>
    <w:p>
      <w:pPr>
        <w:pStyle w:val="ListParagraph"/>
        <w:numPr>
          <w:ilvl w:val="0"/>
          <w:numId w:val="2"/>
        </w:numPr>
      </w:pPr>
      <w:r>
        <w:rPr>
          <w:rFonts w:ascii="Arial" w:cs="Arial" w:eastAsia="Arial" w:hAnsi="Arial"/>
          <w:color w:val="404040"/>
          <w:sz w:val="22"/>
          <w:szCs w:val="22"/>
        </w:rPr>
        <w:t xml:space="preserve">Représentant(e) de la direction financière : [REPRESENTANT_FINANCES]</w:t>
      </w:r>
    </w:p>
    <w:p>
      <w:pPr>
        <w:pStyle w:val="ListParagraph"/>
        <w:numPr>
          <w:ilvl w:val="0"/>
          <w:numId w:val="2"/>
        </w:numPr>
      </w:pPr>
      <w:r>
        <w:rPr>
          <w:rFonts w:ascii="Arial" w:cs="Arial" w:eastAsia="Arial" w:hAnsi="Arial"/>
          <w:color w:val="404040"/>
          <w:sz w:val="22"/>
          <w:szCs w:val="22"/>
        </w:rPr>
        <w:t xml:space="preserve">[MEMBRES_ADDITIONNELS]</w:t>
      </w:r>
    </w:p>
    <w:p>
      <w:pPr>
        <w:pStyle w:val="Heading3"/>
      </w:pPr>
      <w:r>
        <w:t xml:space="preserve">Mandat</w:t>
      </w:r>
    </w:p>
    <w:p>
      <w:pPr>
        <w:pStyle w:val="ListParagraph"/>
        <w:numPr>
          <w:ilvl w:val="0"/>
          <w:numId w:val="2"/>
        </w:numPr>
      </w:pPr>
      <w:r>
        <w:rPr>
          <w:rFonts w:ascii="Arial" w:cs="Arial" w:eastAsia="Arial" w:hAnsi="Arial"/>
          <w:color w:val="404040"/>
          <w:sz w:val="22"/>
          <w:szCs w:val="22"/>
        </w:rPr>
        <w:t xml:space="preserve">Approuver la stratégie IA et ses mises à jour</w:t>
      </w:r>
    </w:p>
    <w:p>
      <w:pPr>
        <w:pStyle w:val="ListParagraph"/>
        <w:numPr>
          <w:ilvl w:val="0"/>
          <w:numId w:val="2"/>
        </w:numPr>
      </w:pPr>
      <w:r>
        <w:rPr>
          <w:rFonts w:ascii="Arial" w:cs="Arial" w:eastAsia="Arial" w:hAnsi="Arial"/>
          <w:color w:val="404040"/>
          <w:sz w:val="22"/>
          <w:szCs w:val="22"/>
        </w:rPr>
        <w:t xml:space="preserve">Valider les politiques et les cadres de référence liés à l'IA</w:t>
      </w:r>
    </w:p>
    <w:p>
      <w:pPr>
        <w:pStyle w:val="ListParagraph"/>
        <w:numPr>
          <w:ilvl w:val="0"/>
          <w:numId w:val="2"/>
        </w:numPr>
      </w:pPr>
      <w:r>
        <w:rPr>
          <w:rFonts w:ascii="Arial" w:cs="Arial" w:eastAsia="Arial" w:hAnsi="Arial"/>
          <w:color w:val="404040"/>
          <w:sz w:val="22"/>
          <w:szCs w:val="22"/>
        </w:rPr>
        <w:t xml:space="preserve">Approuver les projets IA à haut risque ou à investissement significatif</w:t>
      </w:r>
    </w:p>
    <w:p>
      <w:pPr>
        <w:pStyle w:val="ListParagraph"/>
        <w:numPr>
          <w:ilvl w:val="0"/>
          <w:numId w:val="2"/>
        </w:numPr>
      </w:pPr>
      <w:r>
        <w:rPr>
          <w:rFonts w:ascii="Arial" w:cs="Arial" w:eastAsia="Arial" w:hAnsi="Arial"/>
          <w:color w:val="404040"/>
          <w:sz w:val="22"/>
          <w:szCs w:val="22"/>
        </w:rPr>
        <w:t xml:space="preserve">Superviser le registre des systèmes IA et l'état de conformité</w:t>
      </w:r>
    </w:p>
    <w:p>
      <w:pPr>
        <w:pStyle w:val="ListParagraph"/>
        <w:numPr>
          <w:ilvl w:val="0"/>
          <w:numId w:val="2"/>
        </w:numPr>
      </w:pPr>
      <w:r>
        <w:rPr>
          <w:rFonts w:ascii="Arial" w:cs="Arial" w:eastAsia="Arial" w:hAnsi="Arial"/>
          <w:color w:val="404040"/>
          <w:sz w:val="22"/>
          <w:szCs w:val="22"/>
        </w:rPr>
        <w:t xml:space="preserve">Examiner les rapports d'incidents et les résultats d'audits</w:t>
      </w:r>
    </w:p>
    <w:p>
      <w:pPr>
        <w:pStyle w:val="ListParagraph"/>
        <w:numPr>
          <w:ilvl w:val="0"/>
          <w:numId w:val="2"/>
        </w:numPr>
      </w:pPr>
      <w:r>
        <w:rPr>
          <w:rFonts w:ascii="Arial" w:cs="Arial" w:eastAsia="Arial" w:hAnsi="Arial"/>
          <w:color w:val="404040"/>
          <w:sz w:val="22"/>
          <w:szCs w:val="22"/>
        </w:rPr>
        <w:t xml:space="preserve">Arbitrer les questions éthiques complexes liées à l'IA</w:t>
      </w:r>
    </w:p>
    <w:p>
      <w:pPr>
        <w:pStyle w:val="Heading2"/>
      </w:pPr>
      <w:r>
        <w:t xml:space="preserve">Bureau IA (AI Office)</w:t>
      </w:r>
    </w:p>
    <w:p>
      <w:r>
        <w:rPr>
          <w:rFonts w:ascii="Arial" w:cs="Arial" w:eastAsia="Arial" w:hAnsi="Arial"/>
          <w:color w:val="404040"/>
          <w:sz w:val="22"/>
          <w:szCs w:val="22"/>
        </w:rPr>
        <w:t xml:space="preserve">Le Bureau IA est l'unité opérationnelle chargée de la coordination quotidienne des activités liées à l'IA. Il est dirigé par le Responsable IA.</w:t>
      </w:r>
    </w:p>
    <w:p>
      <w:pPr>
        <w:pStyle w:val="Heading3"/>
      </w:pPr>
      <w:r>
        <w:t xml:space="preserve">Responsabilités</w:t>
      </w:r>
    </w:p>
    <w:p>
      <w:pPr>
        <w:pStyle w:val="ListParagraph"/>
        <w:numPr>
          <w:ilvl w:val="0"/>
          <w:numId w:val="2"/>
        </w:numPr>
      </w:pPr>
      <w:r>
        <w:rPr>
          <w:rFonts w:ascii="Arial" w:cs="Arial" w:eastAsia="Arial" w:hAnsi="Arial"/>
          <w:color w:val="404040"/>
          <w:sz w:val="22"/>
          <w:szCs w:val="22"/>
        </w:rPr>
        <w:t xml:space="preserve">Coordonner le déploiement de la stratégie IA</w:t>
      </w:r>
    </w:p>
    <w:p>
      <w:pPr>
        <w:pStyle w:val="ListParagraph"/>
        <w:numPr>
          <w:ilvl w:val="0"/>
          <w:numId w:val="2"/>
        </w:numPr>
      </w:pPr>
      <w:r>
        <w:rPr>
          <w:rFonts w:ascii="Arial" w:cs="Arial" w:eastAsia="Arial" w:hAnsi="Arial"/>
          <w:color w:val="404040"/>
          <w:sz w:val="22"/>
          <w:szCs w:val="22"/>
        </w:rPr>
        <w:t xml:space="preserve">Gérer le registre des systèmes IA et assurer sa mise à jour</w:t>
      </w:r>
    </w:p>
    <w:p>
      <w:pPr>
        <w:pStyle w:val="ListParagraph"/>
        <w:numPr>
          <w:ilvl w:val="0"/>
          <w:numId w:val="2"/>
        </w:numPr>
      </w:pPr>
      <w:r>
        <w:rPr>
          <w:rFonts w:ascii="Arial" w:cs="Arial" w:eastAsia="Arial" w:hAnsi="Arial"/>
          <w:color w:val="404040"/>
          <w:sz w:val="22"/>
          <w:szCs w:val="22"/>
        </w:rPr>
        <w:t xml:space="preserve">Évaluer les projets IA et formuler des recommandations au Comité</w:t>
      </w:r>
    </w:p>
    <w:p>
      <w:pPr>
        <w:pStyle w:val="ListParagraph"/>
        <w:numPr>
          <w:ilvl w:val="0"/>
          <w:numId w:val="2"/>
        </w:numPr>
      </w:pPr>
      <w:r>
        <w:rPr>
          <w:rFonts w:ascii="Arial" w:cs="Arial" w:eastAsia="Arial" w:hAnsi="Arial"/>
          <w:color w:val="404040"/>
          <w:sz w:val="22"/>
          <w:szCs w:val="22"/>
        </w:rPr>
        <w:t xml:space="preserve">Assurer la veille technologique et réglementaire</w:t>
      </w:r>
    </w:p>
    <w:p>
      <w:pPr>
        <w:pStyle w:val="ListParagraph"/>
        <w:numPr>
          <w:ilvl w:val="0"/>
          <w:numId w:val="2"/>
        </w:numPr>
      </w:pPr>
      <w:r>
        <w:rPr>
          <w:rFonts w:ascii="Arial" w:cs="Arial" w:eastAsia="Arial" w:hAnsi="Arial"/>
          <w:color w:val="404040"/>
          <w:sz w:val="22"/>
          <w:szCs w:val="22"/>
        </w:rPr>
        <w:t xml:space="preserve">Développer et maintenir la documentation de gouvernance</w:t>
      </w:r>
    </w:p>
    <w:p>
      <w:pPr>
        <w:pStyle w:val="ListParagraph"/>
        <w:numPr>
          <w:ilvl w:val="0"/>
          <w:numId w:val="2"/>
        </w:numPr>
      </w:pPr>
      <w:r>
        <w:rPr>
          <w:rFonts w:ascii="Arial" w:cs="Arial" w:eastAsia="Arial" w:hAnsi="Arial"/>
          <w:color w:val="404040"/>
          <w:sz w:val="22"/>
          <w:szCs w:val="22"/>
        </w:rPr>
        <w:t xml:space="preserve">Accompagner les départements dans l'intégration de l'IA</w:t>
      </w:r>
    </w:p>
    <w:p>
      <w:pPr>
        <w:pStyle w:val="ListParagraph"/>
        <w:numPr>
          <w:ilvl w:val="0"/>
          <w:numId w:val="2"/>
        </w:numPr>
      </w:pPr>
      <w:r>
        <w:rPr>
          <w:rFonts w:ascii="Arial" w:cs="Arial" w:eastAsia="Arial" w:hAnsi="Arial"/>
          <w:color w:val="404040"/>
          <w:sz w:val="22"/>
          <w:szCs w:val="22"/>
        </w:rPr>
        <w:t xml:space="preserve">Produire les rapports de suivi et les tableaux de bord</w:t>
      </w:r>
    </w:p>
    <w:p>
      <w:pPr>
        <w:pStyle w:val="Heading2"/>
      </w:pPr>
      <w:r>
        <w:t xml:space="preserve">Référents IA départementaux</w:t>
      </w:r>
    </w:p>
    <w:p>
      <w:r>
        <w:rPr>
          <w:rFonts w:ascii="Arial" w:cs="Arial" w:eastAsia="Arial" w:hAnsi="Arial"/>
          <w:color w:val="404040"/>
          <w:sz w:val="22"/>
          <w:szCs w:val="22"/>
        </w:rPr>
        <w:t xml:space="preserve">Chaque département désigne un référent IA chargé de :</w:t>
      </w:r>
    </w:p>
    <w:p>
      <w:pPr>
        <w:pStyle w:val="ListParagraph"/>
        <w:numPr>
          <w:ilvl w:val="0"/>
          <w:numId w:val="2"/>
        </w:numPr>
      </w:pPr>
      <w:r>
        <w:rPr>
          <w:rFonts w:ascii="Arial" w:cs="Arial" w:eastAsia="Arial" w:hAnsi="Arial"/>
          <w:color w:val="404040"/>
          <w:sz w:val="22"/>
          <w:szCs w:val="22"/>
        </w:rPr>
        <w:t xml:space="preserve">Relayer les politiques et directives auprès de son équipe</w:t>
      </w:r>
    </w:p>
    <w:p>
      <w:pPr>
        <w:pStyle w:val="ListParagraph"/>
        <w:numPr>
          <w:ilvl w:val="0"/>
          <w:numId w:val="2"/>
        </w:numPr>
      </w:pPr>
      <w:r>
        <w:rPr>
          <w:rFonts w:ascii="Arial" w:cs="Arial" w:eastAsia="Arial" w:hAnsi="Arial"/>
          <w:color w:val="404040"/>
          <w:sz w:val="22"/>
          <w:szCs w:val="22"/>
        </w:rPr>
        <w:t xml:space="preserve">Identifier les opportunités d'utilisation de l'IA dans son département</w:t>
      </w:r>
    </w:p>
    <w:p>
      <w:pPr>
        <w:pStyle w:val="ListParagraph"/>
        <w:numPr>
          <w:ilvl w:val="0"/>
          <w:numId w:val="2"/>
        </w:numPr>
      </w:pPr>
      <w:r>
        <w:rPr>
          <w:rFonts w:ascii="Arial" w:cs="Arial" w:eastAsia="Arial" w:hAnsi="Arial"/>
          <w:color w:val="404040"/>
          <w:sz w:val="22"/>
          <w:szCs w:val="22"/>
        </w:rPr>
        <w:t xml:space="preserve">Remonter les besoins, incidents et préoccupations au Bureau IA</w:t>
      </w:r>
    </w:p>
    <w:p>
      <w:pPr>
        <w:pStyle w:val="ListParagraph"/>
        <w:numPr>
          <w:ilvl w:val="0"/>
          <w:numId w:val="2"/>
        </w:numPr>
      </w:pPr>
      <w:r>
        <w:rPr>
          <w:rFonts w:ascii="Arial" w:cs="Arial" w:eastAsia="Arial" w:hAnsi="Arial"/>
          <w:color w:val="404040"/>
          <w:sz w:val="22"/>
          <w:szCs w:val="22"/>
        </w:rPr>
        <w:t xml:space="preserve">Participer aux évaluations de risques et d'impact de son périmètre</w:t>
      </w:r>
    </w:p>
    <w:p>
      <w:pPr>
        <w:pStyle w:val="Heading1"/>
      </w:pPr>
      <w:r>
        <w:t xml:space="preserve">Processus de gouvernance</w:t>
      </w:r>
    </w:p>
    <w:p>
      <w:pPr>
        <w:pStyle w:val="Heading2"/>
      </w:pPr>
      <w:r>
        <w:t xml:space="preserve">Cycle de vie des systèmes IA</w:t>
      </w:r>
    </w:p>
    <w:p>
      <w:r>
        <w:rPr>
          <w:rFonts w:ascii="Arial" w:cs="Arial" w:eastAsia="Arial" w:hAnsi="Arial"/>
          <w:color w:val="404040"/>
          <w:sz w:val="22"/>
          <w:szCs w:val="22"/>
        </w:rPr>
        <w:t xml:space="preserve">Tout système d'IA suit un cycle de vie structuré comportant les étapes suivantes, chacune assortie de points de contrôle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3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Étape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Point de contrôle</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Approbation requise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Idéation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Identification du besoin et du cas d'usage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Fiche de projet IA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Bureau IA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Évaluation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de faisabilité, risques, éthique, conformité</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complète (risque, EIVP, éthique)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IA (si haut risque)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 Développement/Acquisition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Construction ou acquisition de la solution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Revue technique et de sécurité</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TI</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Test et validation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Tests fonctionnels, de performance, de biais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 de test et validation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QA / Bureau IA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 Déploiement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Mise en production avec monitoring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Checklist de déploiement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Bureau IA + propriétaire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6. Opération et monitoring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Surveillance continue, maintenance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Rapports de monitoring mensuels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Propriétaire du système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7. Révision périodique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Réévaluation de la pertinence et de la performance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 de révision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IA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 Retrait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Désactivation sécurisée du système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de retrait exécuté</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Bureau IA</w:t>
            </w:r>
          </w:p>
        </w:tc>
      </w:tr>
    </w:tbl>
    <w:p>
      <w:pPr>
        <w:pStyle w:val="Heading2"/>
      </w:pPr>
      <w:r>
        <w:t xml:space="preserve">Classification des systèmes IA par niveau de risque</w:t>
      </w:r>
    </w:p>
    <w:p>
      <w:r>
        <w:rPr>
          <w:rFonts w:ascii="Arial" w:cs="Arial" w:eastAsia="Arial" w:hAnsi="Arial"/>
          <w:color w:val="404040"/>
          <w:sz w:val="22"/>
          <w:szCs w:val="22"/>
        </w:rPr>
        <w:t xml:space="preserve">[NOM_ORGANISATION] classifie ses systèmes IA selon quatre niveaux de risque, conformément à l'approche de l'EU AI Act et du NIST AI RMF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de risque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Exemples</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Exigences de gouvernance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Minimal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Systèmes IA sans impact significatif sur les personnes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Correcteur orthographique, traduction automatique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Inscription au registre, politique d'usage acceptable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Limité</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Systèmes avec obligations de transparence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Chatbots, systèmes de recommandation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 notification aux utilisateurs, monitoring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Systèmes impactant les droits, la santé, la sécurité ou l'accès aux services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 de CV, évaluation de crédit, diagnostic médical assisté</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EIVP, évaluation éthique, supervision humaine, audit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Inacceptable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Systèmes interdits par la réglementation ou les valeurs organisationnelles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Notation sociale, manipulation subliminale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Interdit - Aucun déploiement autorisé</w:t>
            </w:r>
          </w:p>
        </w:tc>
      </w:tr>
    </w:tbl>
    <w:p>
      <w:pPr>
        <w:pStyle w:val="Heading1"/>
      </w:pPr>
      <w:r>
        <w:t xml:space="preserve">Registres et documentation</w:t>
      </w:r>
    </w:p>
    <w:p>
      <w:pPr>
        <w:pStyle w:val="Heading2"/>
      </w:pPr>
      <w:r>
        <w:t xml:space="preserve">Registre des systèmes IA</w:t>
      </w:r>
    </w:p>
    <w:p>
      <w:r>
        <w:rPr>
          <w:rFonts w:ascii="Arial" w:cs="Arial" w:eastAsia="Arial" w:hAnsi="Arial"/>
          <w:color w:val="404040"/>
          <w:sz w:val="22"/>
          <w:szCs w:val="22"/>
        </w:rPr>
        <w:t xml:space="preserve">Le Bureau IA maintient un registre exhaustif de tous les systèmes d'IA en usage ou en développement. Ce registre est conforme aux exigences de la Loi 25 et anticipe les obligations du projet de loi C-27. Il contient pour chaque système :</w:t>
      </w:r>
    </w:p>
    <w:p>
      <w:pPr>
        <w:pStyle w:val="ListParagraph"/>
        <w:numPr>
          <w:ilvl w:val="0"/>
          <w:numId w:val="2"/>
        </w:numPr>
      </w:pPr>
      <w:r>
        <w:rPr>
          <w:rFonts w:ascii="Arial" w:cs="Arial" w:eastAsia="Arial" w:hAnsi="Arial"/>
          <w:color w:val="404040"/>
          <w:sz w:val="22"/>
          <w:szCs w:val="22"/>
        </w:rPr>
        <w:t xml:space="preserve">Identification unique et nom du système</w:t>
      </w:r>
    </w:p>
    <w:p>
      <w:pPr>
        <w:pStyle w:val="ListParagraph"/>
        <w:numPr>
          <w:ilvl w:val="0"/>
          <w:numId w:val="2"/>
        </w:numPr>
      </w:pPr>
      <w:r>
        <w:rPr>
          <w:rFonts w:ascii="Arial" w:cs="Arial" w:eastAsia="Arial" w:hAnsi="Arial"/>
          <w:color w:val="404040"/>
          <w:sz w:val="22"/>
          <w:szCs w:val="22"/>
        </w:rPr>
        <w:t xml:space="preserve">Propriétaire et parties prenantes</w:t>
      </w:r>
    </w:p>
    <w:p>
      <w:pPr>
        <w:pStyle w:val="ListParagraph"/>
        <w:numPr>
          <w:ilvl w:val="0"/>
          <w:numId w:val="2"/>
        </w:numPr>
      </w:pPr>
      <w:r>
        <w:rPr>
          <w:rFonts w:ascii="Arial" w:cs="Arial" w:eastAsia="Arial" w:hAnsi="Arial"/>
          <w:color w:val="404040"/>
          <w:sz w:val="22"/>
          <w:szCs w:val="22"/>
        </w:rPr>
        <w:t xml:space="preserve">Description fonctionnelle et objectif</w:t>
      </w:r>
    </w:p>
    <w:p>
      <w:pPr>
        <w:pStyle w:val="ListParagraph"/>
        <w:numPr>
          <w:ilvl w:val="0"/>
          <w:numId w:val="2"/>
        </w:numPr>
      </w:pPr>
      <w:r>
        <w:rPr>
          <w:rFonts w:ascii="Arial" w:cs="Arial" w:eastAsia="Arial" w:hAnsi="Arial"/>
          <w:color w:val="404040"/>
          <w:sz w:val="22"/>
          <w:szCs w:val="22"/>
        </w:rPr>
        <w:t xml:space="preserve">Classification de risque</w:t>
      </w:r>
    </w:p>
    <w:p>
      <w:pPr>
        <w:pStyle w:val="ListParagraph"/>
        <w:numPr>
          <w:ilvl w:val="0"/>
          <w:numId w:val="2"/>
        </w:numPr>
      </w:pPr>
      <w:r>
        <w:rPr>
          <w:rFonts w:ascii="Arial" w:cs="Arial" w:eastAsia="Arial" w:hAnsi="Arial"/>
          <w:color w:val="404040"/>
          <w:sz w:val="22"/>
          <w:szCs w:val="22"/>
        </w:rPr>
        <w:t xml:space="preserve">Données utilisées (types, sources, volumes)</w:t>
      </w:r>
    </w:p>
    <w:p>
      <w:pPr>
        <w:pStyle w:val="ListParagraph"/>
        <w:numPr>
          <w:ilvl w:val="0"/>
          <w:numId w:val="2"/>
        </w:numPr>
      </w:pPr>
      <w:r>
        <w:rPr>
          <w:rFonts w:ascii="Arial" w:cs="Arial" w:eastAsia="Arial" w:hAnsi="Arial"/>
          <w:color w:val="404040"/>
          <w:sz w:val="22"/>
          <w:szCs w:val="22"/>
        </w:rPr>
        <w:t xml:space="preserve">Statut de conformité (Loi 25, EIVP, éthique)</w:t>
      </w:r>
    </w:p>
    <w:p>
      <w:pPr>
        <w:pStyle w:val="ListParagraph"/>
        <w:numPr>
          <w:ilvl w:val="0"/>
          <w:numId w:val="2"/>
        </w:numPr>
      </w:pPr>
      <w:r>
        <w:rPr>
          <w:rFonts w:ascii="Arial" w:cs="Arial" w:eastAsia="Arial" w:hAnsi="Arial"/>
          <w:color w:val="404040"/>
          <w:sz w:val="22"/>
          <w:szCs w:val="22"/>
        </w:rPr>
        <w:t xml:space="preserve">Date de déploiement et historique des modifications</w:t>
      </w:r>
    </w:p>
    <w:p>
      <w:pPr>
        <w:pStyle w:val="ListParagraph"/>
        <w:numPr>
          <w:ilvl w:val="0"/>
          <w:numId w:val="2"/>
        </w:numPr>
      </w:pPr>
      <w:r>
        <w:rPr>
          <w:rFonts w:ascii="Arial" w:cs="Arial" w:eastAsia="Arial" w:hAnsi="Arial"/>
          <w:color w:val="404040"/>
          <w:sz w:val="22"/>
          <w:szCs w:val="22"/>
        </w:rPr>
        <w:t xml:space="preserve">Résultats d'audits et évaluations</w:t>
      </w:r>
    </w:p>
    <w:p>
      <w:pPr>
        <w:pStyle w:val="Heading2"/>
      </w:pPr>
      <w:r>
        <w:t xml:space="preserve">Registre des décisions</w:t>
      </w:r>
    </w:p>
    <w:p>
      <w:r>
        <w:rPr>
          <w:rFonts w:ascii="Arial" w:cs="Arial" w:eastAsia="Arial" w:hAnsi="Arial"/>
          <w:color w:val="404040"/>
          <w:sz w:val="22"/>
          <w:szCs w:val="22"/>
        </w:rPr>
        <w:t xml:space="preserve">Toutes les décisions significatives du Comité de gouvernance IA et du Bureau IA sont consignées dans un registre dédié, incluant la date, les participants, la décision prise, la justification et les actions de suivi.</w:t>
      </w:r>
    </w:p>
    <w:p>
      <w:pPr>
        <w:pStyle w:val="Heading1"/>
      </w:pPr>
      <w:r>
        <w:t xml:space="preserve">Mécanismes de contrôle</w:t>
      </w:r>
    </w:p>
    <w:p>
      <w:pPr>
        <w:pStyle w:val="Heading2"/>
      </w:pPr>
      <w:r>
        <w:t xml:space="preserve">Audits</w:t>
      </w:r>
    </w:p>
    <w:p>
      <w:r>
        <w:rPr>
          <w:rFonts w:ascii="Arial" w:cs="Arial" w:eastAsia="Arial" w:hAnsi="Arial"/>
          <w:color w:val="404040"/>
          <w:sz w:val="22"/>
          <w:szCs w:val="22"/>
        </w:rPr>
        <w:t xml:space="preserve">[NOM_ORGANISATION] conduit des audits IA selon le calendrier suivant :</w:t>
      </w:r>
    </w:p>
    <w:p>
      <w:pPr>
        <w:pStyle w:val="ListParagraph"/>
        <w:numPr>
          <w:ilvl w:val="0"/>
          <w:numId w:val="2"/>
        </w:numPr>
      </w:pPr>
      <w:r>
        <w:rPr>
          <w:rFonts w:ascii="Arial" w:cs="Arial" w:eastAsia="Arial" w:hAnsi="Arial"/>
          <w:color w:val="404040"/>
          <w:sz w:val="22"/>
          <w:szCs w:val="22"/>
        </w:rPr>
        <w:t xml:space="preserve">Audit interne annuel de l'ensemble du cadre de gouvernance IA</w:t>
      </w:r>
    </w:p>
    <w:p>
      <w:pPr>
        <w:pStyle w:val="ListParagraph"/>
        <w:numPr>
          <w:ilvl w:val="0"/>
          <w:numId w:val="2"/>
        </w:numPr>
      </w:pPr>
      <w:r>
        <w:rPr>
          <w:rFonts w:ascii="Arial" w:cs="Arial" w:eastAsia="Arial" w:hAnsi="Arial"/>
          <w:color w:val="404040"/>
          <w:sz w:val="22"/>
          <w:szCs w:val="22"/>
        </w:rPr>
        <w:t xml:space="preserve">Audit spécifique par système à haut risque (au minimum annuel)</w:t>
      </w:r>
    </w:p>
    <w:p>
      <w:pPr>
        <w:pStyle w:val="ListParagraph"/>
        <w:numPr>
          <w:ilvl w:val="0"/>
          <w:numId w:val="2"/>
        </w:numPr>
      </w:pPr>
      <w:r>
        <w:rPr>
          <w:rFonts w:ascii="Arial" w:cs="Arial" w:eastAsia="Arial" w:hAnsi="Arial"/>
          <w:color w:val="404040"/>
          <w:sz w:val="22"/>
          <w:szCs w:val="22"/>
        </w:rPr>
        <w:t xml:space="preserve">Audit externe indépendant tous les [FREQUENCE_AUDIT_EXTERNE] ans</w:t>
      </w:r>
    </w:p>
    <w:p>
      <w:pPr>
        <w:pStyle w:val="ListParagraph"/>
        <w:numPr>
          <w:ilvl w:val="0"/>
          <w:numId w:val="2"/>
        </w:numPr>
      </w:pPr>
      <w:r>
        <w:rPr>
          <w:rFonts w:ascii="Arial" w:cs="Arial" w:eastAsia="Arial" w:hAnsi="Arial"/>
          <w:color w:val="404040"/>
          <w:sz w:val="22"/>
          <w:szCs w:val="22"/>
        </w:rPr>
        <w:t xml:space="preserve">Audit ad hoc en cas d'incident majeur</w:t>
      </w:r>
    </w:p>
    <w:p>
      <w:pPr>
        <w:pStyle w:val="Heading2"/>
      </w:pPr>
      <w:r>
        <w:t xml:space="preserve">Reporting</w:t>
      </w:r>
    </w:p>
    <w:p>
      <w:r>
        <w:rPr>
          <w:rFonts w:ascii="Arial" w:cs="Arial" w:eastAsia="Arial" w:hAnsi="Arial"/>
          <w:color w:val="404040"/>
          <w:sz w:val="22"/>
          <w:szCs w:val="22"/>
        </w:rPr>
        <w:t xml:space="preserve">Le Bureau IA produit les rapports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Rapport</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Destinataire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Tableau de bord IA (KPIs)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Comité 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 de conformité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IA, Juridique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 d'incidents 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À chaque incident + synthèse trimestrielle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IA, Sécurité</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Bilan annuel 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Conseil d'administration</w:t>
            </w:r>
          </w:p>
        </w:tc>
      </w:tr>
    </w:tbl>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bl>
    <w:p>
      <w:pPr>
        <w:spacing w:before="200"/>
      </w:pPr>
    </w:p>
    <w:p>
      <w:pPr>
        <w:pStyle w:val="Heading1"/>
      </w:pPr>
      <w:r>
        <w:t xml:space="preserve">Matrice RACI</w:t>
      </w:r>
    </w:p>
    <w:p>
      <w:r>
        <w:rPr>
          <w:rFonts w:ascii="Arial" w:cs="Arial" w:eastAsia="Arial" w:hAnsi="Arial"/>
          <w:color w:val="404040"/>
          <w:sz w:val="22"/>
          <w:szCs w:val="22"/>
        </w:rPr>
        <w:t xml:space="preserve">La matrice suivante précise les responsabilités pour les activités clés de gouvernance IA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Activité</w:t>
            </w:r>
          </w:p>
        </w:tc>
        <w:tc>
          <w:tcPr>
            <w:tcW w:type="dxa" w:w="12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Comité IA</w:t>
            </w:r>
          </w:p>
        </w:tc>
        <w:tc>
          <w:tcPr>
            <w:tcW w:type="dxa" w:w="12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Bureau IA</w:t>
            </w:r>
          </w:p>
        </w:tc>
        <w:tc>
          <w:tcPr>
            <w:tcW w:type="dxa" w:w="12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DPO</w:t>
            </w:r>
          </w:p>
        </w:tc>
        <w:tc>
          <w:tcPr>
            <w:tcW w:type="dxa" w:w="12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Dir. TI</w:t>
            </w:r>
          </w:p>
        </w:tc>
        <w:tc>
          <w:tcPr>
            <w:tcW w:type="dxa" w:w="12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Dept.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Approbation stratégie IA</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 risque projet IA</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éthique</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EIVP / PIA</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Déploiement système IA</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Monitoring en production</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 d'incident IA</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 IA</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w:t>
            </w:r>
          </w:p>
        </w:tc>
        <w:tc>
          <w:tcPr>
            <w:tcW w:type="dxa" w:w="12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w:t>
            </w:r>
          </w:p>
        </w:tc>
      </w:tr>
    </w:tbl>
    <w:p>
      <w:r>
        <w:rPr>
          <w:rFonts w:ascii="Arial" w:cs="Arial" w:eastAsia="Arial" w:hAnsi="Arial"/>
          <w:color w:val="404040"/>
          <w:sz w:val="22"/>
          <w:szCs w:val="22"/>
        </w:rPr>
        <w:t xml:space="preserve">Légende : R = Responsable, A = Approbateur, C = Consulté, I = Informé</w:t>
      </w: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Planification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 périmètre, constituer l'équipe, établir le calendrier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Développement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Rédiger le contenu détaillé, consulter les parties prenantes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Réviser, obtenir les approbations, tester auprès d'un groupe pilote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former, mettre en œuvre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Suivi</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l'efficacité, ajuster, améliorer en continu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Inventaire centralisé de tous les systèmes d'intelligence artificielle utilisés ou en développement dans l'organisation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RACI</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Matrice de responsabilités attribuant les rôles de Responsable, Approbateur, Consulté et Informé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à haut risque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d'IA dont le dysfonctionnement ou l'usage inapproprié peut avoir un impact significatif sur les droits, la santé ou la sécurité des personnes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de gouvernance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2026-03-05T02:16:53.799Z</dcterms:created>
  <dcterms:modified xsi:type="dcterms:W3CDTF">2026-03-05T02:16:53.799Z</dcterms:modified>
</cp:coreProperties>
</file>

<file path=docProps/custom.xml><?xml version="1.0" encoding="utf-8"?>
<Properties xmlns="http://schemas.openxmlformats.org/officeDocument/2006/custom-properties" xmlns:vt="http://schemas.openxmlformats.org/officeDocument/2006/docPropsVTypes"/>
</file>