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Cadre de référence IA</w:t>
      </w:r>
    </w:p>
    <w:p>
      <w:pPr>
        <w:spacing w:after="600"/>
        <w:jc w:val="center"/>
      </w:pPr>
      <w:r>
        <w:rPr>
          <w:rFonts w:ascii="Arial" w:cs="Arial" w:eastAsia="Arial" w:hAnsi="Arial"/>
          <w:color w:val="2E75B6"/>
          <w:sz w:val="24"/>
          <w:szCs w:val="24"/>
        </w:rPr>
        <w:t xml:space="preserve">Synthèse des principes, normes et standards adoptés pour la gouvernance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CMMI pour l'IA - Modèle de maturité</w:t>
      </w:r>
    </w:p>
    <w:p>
      <w:pPr>
        <w:pStyle w:val="ListParagraph"/>
        <w:numPr>
          <w:ilvl w:val="0"/>
          <w:numId w:val="2"/>
        </w:numPr>
      </w:pPr>
      <w:r>
        <w:rPr>
          <w:rFonts w:ascii="Arial" w:cs="Arial" w:eastAsia="Arial" w:hAnsi="Arial"/>
          <w:color w:val="404040"/>
          <w:sz w:val="22"/>
          <w:szCs w:val="22"/>
        </w:rPr>
        <w:t xml:space="preserve">IEEE Ethically Aligned Design (EAD)</w:t>
      </w:r>
    </w:p>
    <w:p>
      <w:pPr>
        <w:pStyle w:val="ListParagraph"/>
        <w:numPr>
          <w:ilvl w:val="0"/>
          <w:numId w:val="2"/>
        </w:numPr>
      </w:pPr>
      <w:r>
        <w:rPr>
          <w:rFonts w:ascii="Arial" w:cs="Arial" w:eastAsia="Arial" w:hAnsi="Arial"/>
          <w:color w:val="404040"/>
          <w:sz w:val="22"/>
          <w:szCs w:val="22"/>
        </w:rPr>
        <w:t xml:space="preserve">AIDA - Loi sur l'intelligence artificielle et les données (partie du C-27)</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cadre de référence constitue le document synthèse regroupant l'ensemble des principes, normes, standards et bonnes pratiques adoptés par [NOM_ORGANISATION] en matière d'intelligence artificielle. Il sert de référence unifiée pour l'ensemble de la documentation de gouvernance IA.</w:t>
      </w:r>
    </w:p>
    <w:p>
      <w:pPr>
        <w:pStyle w:val="Heading1"/>
      </w:pPr>
      <w:r>
        <w:t xml:space="preserve">Normes et standards adoptés</w:t>
      </w:r>
    </w:p>
    <w:p>
      <w:pPr>
        <w:pStyle w:val="Heading2"/>
      </w:pPr>
      <w:r>
        <w:t xml:space="preserve">ISO/IEC 42001:2023 - Système de management de l'IA</w:t>
      </w:r>
    </w:p>
    <w:p>
      <w:r>
        <w:rPr>
          <w:rFonts w:ascii="Arial" w:cs="Arial" w:eastAsia="Arial" w:hAnsi="Arial"/>
          <w:color w:val="404040"/>
          <w:sz w:val="22"/>
          <w:szCs w:val="22"/>
        </w:rPr>
        <w:t xml:space="preserve">Cette norme internationale établit les exigences pour la mise en place, la mise en œuvre, le maintien et l'amélioration continue d'un système de management de l'intelligence artificielle (SMIA). [NOM_ORGANISATION] s'engage à aligner progressivement ses pratiques sur cette norme.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Clause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Application chez [NOM_ORGANISATION]</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Document associé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Contexte de l'organisation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Comprendre les enjeux internes et externes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du contexte dans la stratégie IA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Stratégie 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Leadership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Engagement de la direction, politique 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 politiques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gouvernance 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Planification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des risques et opportunités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de gestion des risques IA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gestion des risques 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 Support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Ressources, compétences, communication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formation, plan de communication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formation 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Réalisation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opérationnels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technique, procédures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Procédures de déploiement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 Évaluation des performances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Surveillance, audits, revues de direction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d'audit, KPIs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d'audit 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Amélioration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Non-conformités, actions correctives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d'amélioration continue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d'amélioration continue</w:t>
            </w:r>
          </w:p>
        </w:tc>
      </w:tr>
    </w:tbl>
    <w:p>
      <w:pPr>
        <w:pStyle w:val="Heading2"/>
      </w:pPr>
      <w:r>
        <w:t xml:space="preserve">NIST AI Risk Management Framework (AI RMF 1.0)</w:t>
      </w:r>
    </w:p>
    <w:p>
      <w:r>
        <w:rPr>
          <w:rFonts w:ascii="Arial" w:cs="Arial" w:eastAsia="Arial" w:hAnsi="Arial"/>
          <w:color w:val="404040"/>
          <w:sz w:val="22"/>
          <w:szCs w:val="22"/>
        </w:rPr>
        <w:t xml:space="preserve">Le NIST AI RMF fournit un cadre structuré pour la gestion des risques liés à l'IA. [NOM_ORGANISATION] adopte ses quatre fonctions fondamentales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Fonction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Application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GOVERN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Établir la gouvernance et la culture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IA, politiques, formation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Cartographier les risques et le contexte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des risques, évaluations d'impact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MEASURE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Mesurer les risques identifiés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Métriques, audits, tests de biais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MANAGE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Gérer et atténuer les risques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Plans d'atténuation, monitoring, incidents</w:t>
            </w:r>
          </w:p>
        </w:tc>
      </w:tr>
    </w:tbl>
    <w:p>
      <w:pPr>
        <w:pStyle w:val="Heading2"/>
      </w:pPr>
      <w:r>
        <w:t xml:space="preserve">Cadre législatif applicable</w:t>
      </w:r>
    </w:p>
    <w:p>
      <w:pPr>
        <w:pStyle w:val="Heading3"/>
      </w:pPr>
      <w:r>
        <w:t xml:space="preserve">Loi 25 (Québec)</w:t>
      </w:r>
    </w:p>
    <w:p>
      <w:r>
        <w:rPr>
          <w:rFonts w:ascii="Arial" w:cs="Arial" w:eastAsia="Arial" w:hAnsi="Arial"/>
          <w:color w:val="404040"/>
          <w:sz w:val="22"/>
          <w:szCs w:val="22"/>
        </w:rPr>
        <w:t xml:space="preserve">La Loi modernisant des dispositions législatives en matière de protection des renseignements personnels impose des obligations spécifiques concernant :</w:t>
      </w:r>
    </w:p>
    <w:p>
      <w:pPr>
        <w:pStyle w:val="ListParagraph"/>
        <w:numPr>
          <w:ilvl w:val="0"/>
          <w:numId w:val="2"/>
        </w:numPr>
      </w:pPr>
      <w:r>
        <w:rPr>
          <w:rFonts w:ascii="Arial" w:cs="Arial" w:eastAsia="Arial" w:hAnsi="Arial"/>
          <w:color w:val="404040"/>
          <w:sz w:val="22"/>
          <w:szCs w:val="22"/>
        </w:rPr>
        <w:t xml:space="preserve">La transparence des décisions automatisées (article 12.1 de la Loi sur le privé)</w:t>
      </w:r>
    </w:p>
    <w:p>
      <w:pPr>
        <w:pStyle w:val="ListParagraph"/>
        <w:numPr>
          <w:ilvl w:val="0"/>
          <w:numId w:val="2"/>
        </w:numPr>
      </w:pPr>
      <w:r>
        <w:rPr>
          <w:rFonts w:ascii="Arial" w:cs="Arial" w:eastAsia="Arial" w:hAnsi="Arial"/>
          <w:color w:val="404040"/>
          <w:sz w:val="22"/>
          <w:szCs w:val="22"/>
        </w:rPr>
        <w:t xml:space="preserve">Le droit d'être informé de l'utilisation de technologies de décision automatisée</w:t>
      </w:r>
    </w:p>
    <w:p>
      <w:pPr>
        <w:pStyle w:val="ListParagraph"/>
        <w:numPr>
          <w:ilvl w:val="0"/>
          <w:numId w:val="2"/>
        </w:numPr>
      </w:pPr>
      <w:r>
        <w:rPr>
          <w:rFonts w:ascii="Arial" w:cs="Arial" w:eastAsia="Arial" w:hAnsi="Arial"/>
          <w:color w:val="404040"/>
          <w:sz w:val="22"/>
          <w:szCs w:val="22"/>
        </w:rPr>
        <w:t xml:space="preserve">L'obligation de réaliser une évaluation des facteurs relatifs à la vie privée (EFVP)</w:t>
      </w:r>
    </w:p>
    <w:p>
      <w:pPr>
        <w:pStyle w:val="ListParagraph"/>
        <w:numPr>
          <w:ilvl w:val="0"/>
          <w:numId w:val="2"/>
        </w:numPr>
      </w:pPr>
      <w:r>
        <w:rPr>
          <w:rFonts w:ascii="Arial" w:cs="Arial" w:eastAsia="Arial" w:hAnsi="Arial"/>
          <w:color w:val="404040"/>
          <w:sz w:val="22"/>
          <w:szCs w:val="22"/>
        </w:rPr>
        <w:t xml:space="preserve">La désignation d'un responsable de la protection des renseignements personnels</w:t>
      </w:r>
    </w:p>
    <w:p>
      <w:pPr>
        <w:pStyle w:val="ListParagraph"/>
        <w:numPr>
          <w:ilvl w:val="0"/>
          <w:numId w:val="2"/>
        </w:numPr>
      </w:pPr>
      <w:r>
        <w:rPr>
          <w:rFonts w:ascii="Arial" w:cs="Arial" w:eastAsia="Arial" w:hAnsi="Arial"/>
          <w:color w:val="404040"/>
          <w:sz w:val="22"/>
          <w:szCs w:val="22"/>
        </w:rPr>
        <w:t xml:space="preserve">La notification en cas d'incidents de confidentialité</w:t>
      </w:r>
    </w:p>
    <w:p>
      <w:pPr>
        <w:pStyle w:val="Heading3"/>
      </w:pPr>
      <w:r>
        <w:t xml:space="preserve">Projet de loi C-27 (LIAD)</w:t>
      </w:r>
    </w:p>
    <w:p>
      <w:r>
        <w:rPr>
          <w:rFonts w:ascii="Arial" w:cs="Arial" w:eastAsia="Arial" w:hAnsi="Arial"/>
          <w:color w:val="404040"/>
          <w:sz w:val="22"/>
          <w:szCs w:val="22"/>
        </w:rPr>
        <w:t xml:space="preserve">La Loi sur l'intelligence artificielle et les données (en cours d'adoption) prévoit :</w:t>
      </w:r>
    </w:p>
    <w:p>
      <w:pPr>
        <w:pStyle w:val="ListParagraph"/>
        <w:numPr>
          <w:ilvl w:val="0"/>
          <w:numId w:val="2"/>
        </w:numPr>
      </w:pPr>
      <w:r>
        <w:rPr>
          <w:rFonts w:ascii="Arial" w:cs="Arial" w:eastAsia="Arial" w:hAnsi="Arial"/>
          <w:color w:val="404040"/>
          <w:sz w:val="22"/>
          <w:szCs w:val="22"/>
        </w:rPr>
        <w:t xml:space="preserve">Des obligations pour les systèmes d'IA à incidence élevée</w:t>
      </w:r>
    </w:p>
    <w:p>
      <w:pPr>
        <w:pStyle w:val="ListParagraph"/>
        <w:numPr>
          <w:ilvl w:val="0"/>
          <w:numId w:val="2"/>
        </w:numPr>
      </w:pPr>
      <w:r>
        <w:rPr>
          <w:rFonts w:ascii="Arial" w:cs="Arial" w:eastAsia="Arial" w:hAnsi="Arial"/>
          <w:color w:val="404040"/>
          <w:sz w:val="22"/>
          <w:szCs w:val="22"/>
        </w:rPr>
        <w:t xml:space="preserve">Des exigences de transparence et d'explicabilité</w:t>
      </w:r>
    </w:p>
    <w:p>
      <w:pPr>
        <w:pStyle w:val="ListParagraph"/>
        <w:numPr>
          <w:ilvl w:val="0"/>
          <w:numId w:val="2"/>
        </w:numPr>
      </w:pPr>
      <w:r>
        <w:rPr>
          <w:rFonts w:ascii="Arial" w:cs="Arial" w:eastAsia="Arial" w:hAnsi="Arial"/>
          <w:color w:val="404040"/>
          <w:sz w:val="22"/>
          <w:szCs w:val="22"/>
        </w:rPr>
        <w:t xml:space="preserve">Des interdictions visant les usages causant des préjudices sérieux</w:t>
      </w:r>
    </w:p>
    <w:p>
      <w:pPr>
        <w:pStyle w:val="ListParagraph"/>
        <w:numPr>
          <w:ilvl w:val="0"/>
          <w:numId w:val="2"/>
        </w:numPr>
      </w:pPr>
      <w:r>
        <w:rPr>
          <w:rFonts w:ascii="Arial" w:cs="Arial" w:eastAsia="Arial" w:hAnsi="Arial"/>
          <w:color w:val="404040"/>
          <w:sz w:val="22"/>
          <w:szCs w:val="22"/>
        </w:rPr>
        <w:t xml:space="preserve">Des mécanismes d'application et de sanctions</w:t>
      </w:r>
    </w:p>
    <w:p>
      <w:pPr>
        <w:pStyle w:val="Heading3"/>
      </w:pPr>
      <w:r>
        <w:t xml:space="preserve">Règlement européen sur l'IA (EU AI Act)</w:t>
      </w:r>
    </w:p>
    <w:p>
      <w:r>
        <w:rPr>
          <w:rFonts w:ascii="Arial" w:cs="Arial" w:eastAsia="Arial" w:hAnsi="Arial"/>
          <w:color w:val="404040"/>
          <w:sz w:val="22"/>
          <w:szCs w:val="22"/>
        </w:rPr>
        <w:t xml:space="preserve">Applicable si [NOM_ORGANISATION] offre des services ou traite des données de résidents de l'Union européenne. Les principales exigences incluent la classification par niveau de risque, les obligations pour les systèmes à haut risque et les exigences de transparence.</w:t>
      </w:r>
    </w:p>
    <w:p>
      <w:pPr>
        <w:pStyle w:val="Heading1"/>
      </w:pPr>
      <w:r>
        <w:t xml:space="preserve">Cartographie des documents de gouvernance</w:t>
      </w:r>
    </w:p>
    <w:p>
      <w:r>
        <w:rPr>
          <w:rFonts w:ascii="Arial" w:cs="Arial" w:eastAsia="Arial" w:hAnsi="Arial"/>
          <w:color w:val="404040"/>
          <w:sz w:val="22"/>
          <w:szCs w:val="22"/>
        </w:rPr>
        <w:t xml:space="preserve">Le référentiel documentaire de [NOM_ORGANISATION] comprend [NOMBRE_DOCUMENTS] documents répartis en 12 catégories. Le présent cadre de référence assure la cohérence de l'ensemble.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Catégorie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Nb. docs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Documents clés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Gouvernance stratégique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Stratégie IA, Politique de gouvernance, Charte 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Éthique et valeurs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Code d'éthique, Principes IA responsable, Guide biais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Utilisation et pratiques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Charte d'utilisation, Guide outils générativs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Sécurité et confidentialité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sécurité, EIVP, Classification données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Gestion des risques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de risques, Registre, Procédure incidents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Conformité légale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conformité, Guide Loi 25, Guide C-27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 Approvisionnement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approvisionnement, Clauses contractuelles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RH et formation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formation, Matrice compétences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 Documentation technique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Inventaire IA, Model Cards, Data Cards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Propriété intellectuelle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PI, Guide droits d'auteur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11. Qualité et amélioration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KPIs, Processus de révision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 Communication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communication, FAQ interne</w:t>
            </w:r>
          </w:p>
        </w:tc>
      </w:tr>
    </w:tbl>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SMIA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management de l'intelligence artificielle, tel que défini par la norme ISO/IEC 42001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AI RMF</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AI Risk Management Framework du NIST, cadre américain de gestion des risques liés à l'IA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Cadre de référence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2026-03-05T02:16:53.900Z</dcterms:created>
  <dcterms:modified xsi:type="dcterms:W3CDTF">2026-03-05T02:16:53.900Z</dcterms:modified>
</cp:coreProperties>
</file>

<file path=docProps/custom.xml><?xml version="1.0" encoding="utf-8"?>
<Properties xmlns="http://schemas.openxmlformats.org/officeDocument/2006/custom-properties" xmlns:vt="http://schemas.openxmlformats.org/officeDocument/2006/docPropsVTypes"/>
</file>