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Comité IA - Mandat et composition</w:t>
      </w:r>
    </w:p>
    <w:p>
      <w:pPr>
        <w:spacing w:after="600"/>
        <w:jc w:val="center"/>
      </w:pPr>
      <w:r>
        <w:rPr>
          <w:rFonts w:ascii="Arial" w:cs="Arial" w:eastAsia="Arial" w:hAnsi="Arial"/>
          <w:color w:val="2E75B6"/>
          <w:sz w:val="24"/>
          <w:szCs w:val="24"/>
        </w:rPr>
        <w:t xml:space="preserve">Termes de référence du Comité de gouvernance 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w:t>
      </w:r>
    </w:p>
    <w:p>
      <w:r>
        <w:rPr>
          <w:rFonts w:ascii="Arial" w:cs="Arial" w:eastAsia="Arial" w:hAnsi="Arial"/>
          <w:color w:val="404040"/>
          <w:sz w:val="22"/>
          <w:szCs w:val="22"/>
        </w:rPr>
        <w:t xml:space="preserve">Le présent document établit le mandat, la composition, les responsabilités et les modalités de fonctionnement du Comité de gouvernance IA de [NOM_ORGANISATION].</w:t>
      </w:r>
    </w:p>
    <w:p>
      <w:pPr>
        <w:pStyle w:val="Heading1"/>
      </w:pPr>
      <w:r>
        <w:t xml:space="preserve">Mandat</w:t>
      </w:r>
    </w:p>
    <w:p>
      <w:r>
        <w:rPr>
          <w:rFonts w:ascii="Arial" w:cs="Arial" w:eastAsia="Arial" w:hAnsi="Arial"/>
          <w:color w:val="404040"/>
          <w:sz w:val="22"/>
          <w:szCs w:val="22"/>
        </w:rPr>
        <w:t xml:space="preserve">Le Comité de gouvernance IA est l'instance décisionnelle suprême en matière d'intelligence artificielle au sein de [NOM_ORGANISATION]. Son mandat consiste à :</w:t>
      </w:r>
    </w:p>
    <w:p>
      <w:pPr>
        <w:pStyle w:val="ListParagraph"/>
        <w:numPr>
          <w:ilvl w:val="0"/>
          <w:numId w:val="3"/>
        </w:numPr>
      </w:pPr>
      <w:r>
        <w:rPr>
          <w:rFonts w:ascii="Arial" w:cs="Arial" w:eastAsia="Arial" w:hAnsi="Arial"/>
          <w:color w:val="404040"/>
          <w:sz w:val="22"/>
          <w:szCs w:val="22"/>
        </w:rPr>
        <w:t xml:space="preserve">Orienter et approuver la stratégie IA de l'organisation</w:t>
      </w:r>
    </w:p>
    <w:p>
      <w:pPr>
        <w:pStyle w:val="ListParagraph"/>
        <w:numPr>
          <w:ilvl w:val="0"/>
          <w:numId w:val="3"/>
        </w:numPr>
      </w:pPr>
      <w:r>
        <w:rPr>
          <w:rFonts w:ascii="Arial" w:cs="Arial" w:eastAsia="Arial" w:hAnsi="Arial"/>
          <w:color w:val="404040"/>
          <w:sz w:val="22"/>
          <w:szCs w:val="22"/>
        </w:rPr>
        <w:t xml:space="preserve">Superviser la mise en œuvre des politiques, normes et directives liées à l'IA</w:t>
      </w:r>
    </w:p>
    <w:p>
      <w:pPr>
        <w:pStyle w:val="ListParagraph"/>
        <w:numPr>
          <w:ilvl w:val="0"/>
          <w:numId w:val="3"/>
        </w:numPr>
      </w:pPr>
      <w:r>
        <w:rPr>
          <w:rFonts w:ascii="Arial" w:cs="Arial" w:eastAsia="Arial" w:hAnsi="Arial"/>
          <w:color w:val="404040"/>
          <w:sz w:val="22"/>
          <w:szCs w:val="22"/>
        </w:rPr>
        <w:t xml:space="preserve">Approuver les projets IA à haut risque ou à investissement significatif</w:t>
      </w:r>
    </w:p>
    <w:p>
      <w:pPr>
        <w:pStyle w:val="ListParagraph"/>
        <w:numPr>
          <w:ilvl w:val="0"/>
          <w:numId w:val="3"/>
        </w:numPr>
      </w:pPr>
      <w:r>
        <w:rPr>
          <w:rFonts w:ascii="Arial" w:cs="Arial" w:eastAsia="Arial" w:hAnsi="Arial"/>
          <w:color w:val="404040"/>
          <w:sz w:val="22"/>
          <w:szCs w:val="22"/>
        </w:rPr>
        <w:t xml:space="preserve">Arbitrer les questions éthiques, juridiques et opérationnelles complexes</w:t>
      </w:r>
    </w:p>
    <w:p>
      <w:pPr>
        <w:pStyle w:val="ListParagraph"/>
        <w:numPr>
          <w:ilvl w:val="0"/>
          <w:numId w:val="3"/>
        </w:numPr>
      </w:pPr>
      <w:r>
        <w:rPr>
          <w:rFonts w:ascii="Arial" w:cs="Arial" w:eastAsia="Arial" w:hAnsi="Arial"/>
          <w:color w:val="404040"/>
          <w:sz w:val="22"/>
          <w:szCs w:val="22"/>
        </w:rPr>
        <w:t xml:space="preserve">Évaluer la performance globale des initiatives IA et leur alignement avec les objectifs stratégiques</w:t>
      </w:r>
    </w:p>
    <w:p>
      <w:pPr>
        <w:pStyle w:val="ListParagraph"/>
        <w:numPr>
          <w:ilvl w:val="0"/>
          <w:numId w:val="3"/>
        </w:numPr>
      </w:pPr>
      <w:r>
        <w:rPr>
          <w:rFonts w:ascii="Arial" w:cs="Arial" w:eastAsia="Arial" w:hAnsi="Arial"/>
          <w:color w:val="404040"/>
          <w:sz w:val="22"/>
          <w:szCs w:val="22"/>
        </w:rPr>
        <w:t xml:space="preserve">Assurer la conformité de l'organisation avec les lois et réglements applicables (Loi 25, C-27, EU AI Act)</w:t>
      </w:r>
    </w:p>
    <w:p>
      <w:pPr>
        <w:pStyle w:val="ListParagraph"/>
        <w:numPr>
          <w:ilvl w:val="0"/>
          <w:numId w:val="3"/>
        </w:numPr>
      </w:pPr>
      <w:r>
        <w:rPr>
          <w:rFonts w:ascii="Arial" w:cs="Arial" w:eastAsia="Arial" w:hAnsi="Arial"/>
          <w:color w:val="404040"/>
          <w:sz w:val="22"/>
          <w:szCs w:val="22"/>
        </w:rPr>
        <w:t xml:space="preserve">Promouvoir une culture d'innovation responsable en matière d'IA</w:t>
      </w:r>
    </w:p>
    <w:p>
      <w:pPr>
        <w:pStyle w:val="Heading1"/>
      </w:pPr>
      <w:r>
        <w:t xml:space="preserve">Composition</w:t>
      </w:r>
    </w:p>
    <w:p>
      <w:pPr>
        <w:pStyle w:val="Heading2"/>
      </w:pPr>
      <w:r>
        <w:t xml:space="preserve">Membres permanents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Titulaire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Fonction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Président(e) du Comité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[NOM_PRESIDENT]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[TITRE_PRESIDENT]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Vice-président(e)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[NOM_VP]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[TITRE_VP]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[NOM_RESPONSABLE_IA]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Chef de l'intelligence artificielle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[NOM_DPO]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protection des renseignements personnels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Directeur(trice) TI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[NOM_DIR_TI]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Directeur(trice) juridique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[NOM_DIR_JURIDIQUE]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affaires juridiques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Directeur(trice) RH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[NOM_DIR_RH]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ressources humaines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Directeur(trice) financier(e)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[NOM_DIR_FINANCES]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financière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[MEMBRE_ADDITIONNEL]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[FONCTION]</w:t>
            </w:r>
          </w:p>
        </w:tc>
      </w:tr>
    </w:tbl>
    <w:p>
      <w:pPr>
        <w:pStyle w:val="Heading2"/>
      </w:pPr>
      <w:r>
        <w:t xml:space="preserve">Membres invités</w:t>
      </w:r>
    </w:p>
    <w:p>
      <w:r>
        <w:rPr>
          <w:rFonts w:ascii="Arial" w:cs="Arial" w:eastAsia="Arial" w:hAnsi="Arial"/>
          <w:color w:val="404040"/>
          <w:sz w:val="22"/>
          <w:szCs w:val="22"/>
        </w:rPr>
        <w:t xml:space="preserve">Le Comité peut inviter des personnes supplémentaires selon les sujets traités :</w:t>
      </w:r>
    </w:p>
    <w:p>
      <w:pPr>
        <w:pStyle w:val="ListParagraph"/>
        <w:numPr>
          <w:ilvl w:val="0"/>
          <w:numId w:val="2"/>
        </w:numPr>
      </w:pPr>
      <w:r>
        <w:rPr>
          <w:rFonts w:ascii="Arial" w:cs="Arial" w:eastAsia="Arial" w:hAnsi="Arial"/>
          <w:color w:val="404040"/>
          <w:sz w:val="22"/>
          <w:szCs w:val="22"/>
        </w:rPr>
        <w:t xml:space="preserve">Représentants de départements concernés par un projet spécifique</w:t>
      </w:r>
    </w:p>
    <w:p>
      <w:pPr>
        <w:pStyle w:val="ListParagraph"/>
        <w:numPr>
          <w:ilvl w:val="0"/>
          <w:numId w:val="2"/>
        </w:numPr>
      </w:pPr>
      <w:r>
        <w:rPr>
          <w:rFonts w:ascii="Arial" w:cs="Arial" w:eastAsia="Arial" w:hAnsi="Arial"/>
          <w:color w:val="404040"/>
          <w:sz w:val="22"/>
          <w:szCs w:val="22"/>
        </w:rPr>
        <w:t xml:space="preserve">Experts externes (consultants, chercheurs, auditeurs)</w:t>
      </w:r>
    </w:p>
    <w:p>
      <w:pPr>
        <w:pStyle w:val="ListParagraph"/>
        <w:numPr>
          <w:ilvl w:val="0"/>
          <w:numId w:val="2"/>
        </w:numPr>
      </w:pPr>
      <w:r>
        <w:rPr>
          <w:rFonts w:ascii="Arial" w:cs="Arial" w:eastAsia="Arial" w:hAnsi="Arial"/>
          <w:color w:val="404040"/>
          <w:sz w:val="22"/>
          <w:szCs w:val="22"/>
        </w:rPr>
        <w:t xml:space="preserve">Représentants des employés ou des syndicats</w:t>
      </w:r>
    </w:p>
    <w:p>
      <w:pPr>
        <w:pStyle w:val="ListParagraph"/>
        <w:numPr>
          <w:ilvl w:val="0"/>
          <w:numId w:val="2"/>
        </w:numPr>
      </w:pPr>
      <w:r>
        <w:rPr>
          <w:rFonts w:ascii="Arial" w:cs="Arial" w:eastAsia="Arial" w:hAnsi="Arial"/>
          <w:color w:val="404040"/>
          <w:sz w:val="22"/>
          <w:szCs w:val="22"/>
        </w:rPr>
        <w:t xml:space="preserve">Fournisseurs de solutions IA (pour des présentations spécifiques)</w:t>
      </w:r>
    </w:p>
    <w:p>
      <w:pPr>
        <w:pStyle w:val="Heading2"/>
      </w:pPr>
      <w:r>
        <w:t xml:space="preserve">Secrétariat</w:t>
      </w:r>
    </w:p>
    <w:p>
      <w:r>
        <w:rPr>
          <w:rFonts w:ascii="Arial" w:cs="Arial" w:eastAsia="Arial" w:hAnsi="Arial"/>
          <w:color w:val="404040"/>
          <w:sz w:val="22"/>
          <w:szCs w:val="22"/>
        </w:rPr>
        <w:t xml:space="preserve">Le secrétariat du Comité est assuré par le Bureau IA, qui est responsable de la préparation des ordres du jour, de la rédaction des procès-verbaux et du suivi des décisions.</w:t>
      </w:r>
    </w:p>
    <w:p>
      <w:pPr>
        <w:pStyle w:val="Heading1"/>
      </w:pPr>
      <w:r>
        <w:t xml:space="preserve">Fonctionnement</w:t>
      </w:r>
    </w:p>
    <w:p>
      <w:pPr>
        <w:pStyle w:val="Heading2"/>
      </w:pPr>
      <w:r>
        <w:t xml:space="preserve">Fréquence des réunions</w:t>
      </w:r>
    </w:p>
    <w:p>
      <w:r>
        <w:rPr>
          <w:rFonts w:ascii="Arial" w:cs="Arial" w:eastAsia="Arial" w:hAnsi="Arial"/>
          <w:color w:val="404040"/>
          <w:sz w:val="22"/>
          <w:szCs w:val="22"/>
        </w:rPr>
        <w:t xml:space="preserve">Le Comité se réunit au minimum [FREQUENCE_REUNIONS] (recommandé : trimestrielle). Des réunions extraordinaires peuvent être convoquées en cas d'urgence ou de besoin spécifique.</w:t>
      </w:r>
    </w:p>
    <w:p>
      <w:pPr>
        <w:pStyle w:val="Heading2"/>
      </w:pPr>
      <w:r>
        <w:t xml:space="preserve">Quorum</w:t>
      </w:r>
    </w:p>
    <w:p>
      <w:r>
        <w:rPr>
          <w:rFonts w:ascii="Arial" w:cs="Arial" w:eastAsia="Arial" w:hAnsi="Arial"/>
          <w:color w:val="404040"/>
          <w:sz w:val="22"/>
          <w:szCs w:val="22"/>
        </w:rPr>
        <w:t xml:space="preserve">Le quorum est atteint lorsque la majorité des membres permanents sont présents, incluant obligatoirement le/la président(e) ou le/la vice-président(e).</w:t>
      </w:r>
    </w:p>
    <w:p>
      <w:pPr>
        <w:pStyle w:val="Heading2"/>
      </w:pPr>
      <w:r>
        <w:t xml:space="preserve">Prise de décision</w:t>
      </w:r>
    </w:p>
    <w:p>
      <w:r>
        <w:rPr>
          <w:rFonts w:ascii="Arial" w:cs="Arial" w:eastAsia="Arial" w:hAnsi="Arial"/>
          <w:color w:val="404040"/>
          <w:sz w:val="22"/>
          <w:szCs w:val="22"/>
        </w:rPr>
        <w:t xml:space="preserve">Les décisions sont prises par consensus. En l'absence de consensus, le vote à la majorité simple est utilisé, avec voix prépondérante du/de la président(e) en cas d'égalité.</w:t>
      </w:r>
    </w:p>
    <w:p>
      <w:pPr>
        <w:pStyle w:val="Heading2"/>
      </w:pPr>
      <w:r>
        <w:t xml:space="preserve">Ordre du jour type</w:t>
      </w:r>
    </w:p>
    <w:p>
      <w:pPr>
        <w:pStyle w:val="ListParagraph"/>
        <w:numPr>
          <w:ilvl w:val="0"/>
          <w:numId w:val="3"/>
        </w:numPr>
      </w:pPr>
      <w:r>
        <w:rPr>
          <w:rFonts w:ascii="Arial" w:cs="Arial" w:eastAsia="Arial" w:hAnsi="Arial"/>
          <w:color w:val="404040"/>
          <w:sz w:val="22"/>
          <w:szCs w:val="22"/>
        </w:rPr>
        <w:t xml:space="preserve">Adoption de l'ordre du jour et du procès-verbal de la réunion précédente</w:t>
      </w:r>
    </w:p>
    <w:p>
      <w:pPr>
        <w:pStyle w:val="ListParagraph"/>
        <w:numPr>
          <w:ilvl w:val="0"/>
          <w:numId w:val="3"/>
        </w:numPr>
      </w:pPr>
      <w:r>
        <w:rPr>
          <w:rFonts w:ascii="Arial" w:cs="Arial" w:eastAsia="Arial" w:hAnsi="Arial"/>
          <w:color w:val="404040"/>
          <w:sz w:val="22"/>
          <w:szCs w:val="22"/>
        </w:rPr>
        <w:t xml:space="preserve">Suivi des décisions et actions en cours</w:t>
      </w:r>
    </w:p>
    <w:p>
      <w:pPr>
        <w:pStyle w:val="ListParagraph"/>
        <w:numPr>
          <w:ilvl w:val="0"/>
          <w:numId w:val="3"/>
        </w:numPr>
      </w:pPr>
      <w:r>
        <w:rPr>
          <w:rFonts w:ascii="Arial" w:cs="Arial" w:eastAsia="Arial" w:hAnsi="Arial"/>
          <w:color w:val="404040"/>
          <w:sz w:val="22"/>
          <w:szCs w:val="22"/>
        </w:rPr>
        <w:t xml:space="preserve">Tableau de bord IA : indicateurs clés, incidents, conformité</w:t>
      </w:r>
    </w:p>
    <w:p>
      <w:pPr>
        <w:pStyle w:val="ListParagraph"/>
        <w:numPr>
          <w:ilvl w:val="0"/>
          <w:numId w:val="3"/>
        </w:numPr>
      </w:pPr>
      <w:r>
        <w:rPr>
          <w:rFonts w:ascii="Arial" w:cs="Arial" w:eastAsia="Arial" w:hAnsi="Arial"/>
          <w:color w:val="404040"/>
          <w:sz w:val="22"/>
          <w:szCs w:val="22"/>
        </w:rPr>
        <w:t xml:space="preserve">Projets IA : approbations, revues de progression, décisions</w:t>
      </w:r>
    </w:p>
    <w:p>
      <w:pPr>
        <w:pStyle w:val="ListParagraph"/>
        <w:numPr>
          <w:ilvl w:val="0"/>
          <w:numId w:val="3"/>
        </w:numPr>
      </w:pPr>
      <w:r>
        <w:rPr>
          <w:rFonts w:ascii="Arial" w:cs="Arial" w:eastAsia="Arial" w:hAnsi="Arial"/>
          <w:color w:val="404040"/>
          <w:sz w:val="22"/>
          <w:szCs w:val="22"/>
        </w:rPr>
        <w:t xml:space="preserve">Questions éthiques et de conformité</w:t>
      </w:r>
    </w:p>
    <w:p>
      <w:pPr>
        <w:pStyle w:val="ListParagraph"/>
        <w:numPr>
          <w:ilvl w:val="0"/>
          <w:numId w:val="3"/>
        </w:numPr>
      </w:pPr>
      <w:r>
        <w:rPr>
          <w:rFonts w:ascii="Arial" w:cs="Arial" w:eastAsia="Arial" w:hAnsi="Arial"/>
          <w:color w:val="404040"/>
          <w:sz w:val="22"/>
          <w:szCs w:val="22"/>
        </w:rPr>
        <w:t xml:space="preserve">Veille réglementaire et technologique</w:t>
      </w:r>
    </w:p>
    <w:p>
      <w:pPr>
        <w:pStyle w:val="ListParagraph"/>
        <w:numPr>
          <w:ilvl w:val="0"/>
          <w:numId w:val="3"/>
        </w:numPr>
      </w:pPr>
      <w:r>
        <w:rPr>
          <w:rFonts w:ascii="Arial" w:cs="Arial" w:eastAsia="Arial" w:hAnsi="Arial"/>
          <w:color w:val="404040"/>
          <w:sz w:val="22"/>
          <w:szCs w:val="22"/>
        </w:rPr>
        <w:t xml:space="preserve">Points divers et prochaine réunion</w:t>
      </w:r>
    </w:p>
    <w:p>
      <w:pPr>
        <w:pStyle w:val="Heading2"/>
      </w:pPr>
      <w:r>
        <w:t xml:space="preserve">Documentation</w:t>
      </w:r>
    </w:p>
    <w:p>
      <w:pPr>
        <w:pStyle w:val="ListParagraph"/>
        <w:numPr>
          <w:ilvl w:val="0"/>
          <w:numId w:val="2"/>
        </w:numPr>
      </w:pPr>
      <w:r>
        <w:rPr>
          <w:rFonts w:ascii="Arial" w:cs="Arial" w:eastAsia="Arial" w:hAnsi="Arial"/>
          <w:color w:val="404040"/>
          <w:sz w:val="22"/>
          <w:szCs w:val="22"/>
        </w:rPr>
        <w:t xml:space="preserve">Chaque réunion fait l'objet d'un procès-verbal détaillé</w:t>
      </w:r>
    </w:p>
    <w:p>
      <w:pPr>
        <w:pStyle w:val="ListParagraph"/>
        <w:numPr>
          <w:ilvl w:val="0"/>
          <w:numId w:val="2"/>
        </w:numPr>
      </w:pPr>
      <w:r>
        <w:rPr>
          <w:rFonts w:ascii="Arial" w:cs="Arial" w:eastAsia="Arial" w:hAnsi="Arial"/>
          <w:color w:val="404040"/>
          <w:sz w:val="22"/>
          <w:szCs w:val="22"/>
        </w:rPr>
        <w:t xml:space="preserve">Les décisions sont numérotées et tracées dans le registre des décisions</w:t>
      </w:r>
    </w:p>
    <w:p>
      <w:pPr>
        <w:pStyle w:val="ListParagraph"/>
        <w:numPr>
          <w:ilvl w:val="0"/>
          <w:numId w:val="2"/>
        </w:numPr>
      </w:pPr>
      <w:r>
        <w:rPr>
          <w:rFonts w:ascii="Arial" w:cs="Arial" w:eastAsia="Arial" w:hAnsi="Arial"/>
          <w:color w:val="404040"/>
          <w:sz w:val="22"/>
          <w:szCs w:val="22"/>
        </w:rPr>
        <w:t xml:space="preserve">Les documents de référence sont archivés et accessibles aux membres</w:t>
      </w:r>
    </w:p>
    <w:p>
      <w:pPr>
        <w:pStyle w:val="ListParagraph"/>
        <w:numPr>
          <w:ilvl w:val="0"/>
          <w:numId w:val="2"/>
        </w:numPr>
      </w:pPr>
      <w:r>
        <w:rPr>
          <w:rFonts w:ascii="Arial" w:cs="Arial" w:eastAsia="Arial" w:hAnsi="Arial"/>
          <w:color w:val="404040"/>
          <w:sz w:val="22"/>
          <w:szCs w:val="22"/>
        </w:rPr>
        <w:t xml:space="preserve">Les rapports et tableaux de bord sont distribués [DELAI_DISTRIBUTION] jours avant la réunion</w:t>
      </w:r>
    </w:p>
    <w:p>
      <w:pPr>
        <w:pStyle w:val="Heading1"/>
      </w:pPr>
      <w:r>
        <w:t xml:space="preserve">Pouvoirs et limites</w:t>
      </w:r>
    </w:p>
    <w:p>
      <w:pPr>
        <w:pStyle w:val="Heading2"/>
      </w:pPr>
      <w:r>
        <w:t xml:space="preserve">Pouvoirs</w:t>
      </w:r>
    </w:p>
    <w:p>
      <w:pPr>
        <w:pStyle w:val="ListParagraph"/>
        <w:numPr>
          <w:ilvl w:val="0"/>
          <w:numId w:val="2"/>
        </w:numPr>
      </w:pPr>
      <w:r>
        <w:rPr>
          <w:rFonts w:ascii="Arial" w:cs="Arial" w:eastAsia="Arial" w:hAnsi="Arial"/>
          <w:color w:val="404040"/>
          <w:sz w:val="22"/>
          <w:szCs w:val="22"/>
        </w:rPr>
        <w:t xml:space="preserve">Approuver ou rejeter tout projet IA à haut risque ou dépassant [SEUIL_BUDGET]$</w:t>
      </w:r>
    </w:p>
    <w:p>
      <w:pPr>
        <w:pStyle w:val="ListParagraph"/>
        <w:numPr>
          <w:ilvl w:val="0"/>
          <w:numId w:val="2"/>
        </w:numPr>
      </w:pPr>
      <w:r>
        <w:rPr>
          <w:rFonts w:ascii="Arial" w:cs="Arial" w:eastAsia="Arial" w:hAnsi="Arial"/>
          <w:color w:val="404040"/>
          <w:sz w:val="22"/>
          <w:szCs w:val="22"/>
        </w:rPr>
        <w:t xml:space="preserve">Émettre des directives contraignantes pour tous les départements en matière d'IA</w:t>
      </w:r>
    </w:p>
    <w:p>
      <w:pPr>
        <w:pStyle w:val="ListParagraph"/>
        <w:numPr>
          <w:ilvl w:val="0"/>
          <w:numId w:val="2"/>
        </w:numPr>
      </w:pPr>
      <w:r>
        <w:rPr>
          <w:rFonts w:ascii="Arial" w:cs="Arial" w:eastAsia="Arial" w:hAnsi="Arial"/>
          <w:color w:val="404040"/>
          <w:sz w:val="22"/>
          <w:szCs w:val="22"/>
        </w:rPr>
        <w:t xml:space="preserve">Commander des audits internes ou externes sur tout aspect de l'utilisation de l'IA</w:t>
      </w:r>
    </w:p>
    <w:p>
      <w:pPr>
        <w:pStyle w:val="ListParagraph"/>
        <w:numPr>
          <w:ilvl w:val="0"/>
          <w:numId w:val="2"/>
        </w:numPr>
      </w:pPr>
      <w:r>
        <w:rPr>
          <w:rFonts w:ascii="Arial" w:cs="Arial" w:eastAsia="Arial" w:hAnsi="Arial"/>
          <w:color w:val="404040"/>
          <w:sz w:val="22"/>
          <w:szCs w:val="22"/>
        </w:rPr>
        <w:t xml:space="preserve">Suspendre ou retirer tout système IA présentant un risque inacceptable</w:t>
      </w:r>
    </w:p>
    <w:p>
      <w:pPr>
        <w:pStyle w:val="ListParagraph"/>
        <w:numPr>
          <w:ilvl w:val="0"/>
          <w:numId w:val="2"/>
        </w:numPr>
      </w:pPr>
      <w:r>
        <w:rPr>
          <w:rFonts w:ascii="Arial" w:cs="Arial" w:eastAsia="Arial" w:hAnsi="Arial"/>
          <w:color w:val="404040"/>
          <w:sz w:val="22"/>
          <w:szCs w:val="22"/>
        </w:rPr>
        <w:t xml:space="preserve">Approuver les politiques et modifications au cadre de gouvernance IA</w:t>
      </w:r>
    </w:p>
    <w:p>
      <w:pPr>
        <w:pStyle w:val="Heading2"/>
      </w:pPr>
      <w:r>
        <w:t xml:space="preserve">Limites</w:t>
      </w:r>
    </w:p>
    <w:p>
      <w:pPr>
        <w:pStyle w:val="ListParagraph"/>
        <w:numPr>
          <w:ilvl w:val="0"/>
          <w:numId w:val="2"/>
        </w:numPr>
      </w:pPr>
      <w:r>
        <w:rPr>
          <w:rFonts w:ascii="Arial" w:cs="Arial" w:eastAsia="Arial" w:hAnsi="Arial"/>
          <w:color w:val="404040"/>
          <w:sz w:val="22"/>
          <w:szCs w:val="22"/>
        </w:rPr>
        <w:t xml:space="preserve">Le Comité ne se substitue pas aux responsabilités opérationnelles des départements</w:t>
      </w:r>
    </w:p>
    <w:p>
      <w:pPr>
        <w:pStyle w:val="ListParagraph"/>
        <w:numPr>
          <w:ilvl w:val="0"/>
          <w:numId w:val="2"/>
        </w:numPr>
      </w:pPr>
      <w:r>
        <w:rPr>
          <w:rFonts w:ascii="Arial" w:cs="Arial" w:eastAsia="Arial" w:hAnsi="Arial"/>
          <w:color w:val="404040"/>
          <w:sz w:val="22"/>
          <w:szCs w:val="22"/>
        </w:rPr>
        <w:t xml:space="preserve">Les décisions impliquant un engagement financier supérieur à [SEUIL_CA]$ requièrent l'approbation du conseil d'administration</w:t>
      </w:r>
    </w:p>
    <w:p>
      <w:pPr>
        <w:pStyle w:val="ListParagraph"/>
        <w:numPr>
          <w:ilvl w:val="0"/>
          <w:numId w:val="2"/>
        </w:numPr>
      </w:pPr>
      <w:r>
        <w:rPr>
          <w:rFonts w:ascii="Arial" w:cs="Arial" w:eastAsia="Arial" w:hAnsi="Arial"/>
          <w:color w:val="404040"/>
          <w:sz w:val="22"/>
          <w:szCs w:val="22"/>
        </w:rPr>
        <w:t xml:space="preserve">Le Comité respecte les prérogatives du DPO en matière de protection des renseignements personnels</w:t>
      </w:r>
    </w:p>
    <w:p>
      <w:pPr>
        <w:pStyle w:val="Heading1"/>
      </w:pPr>
      <w:r>
        <w:t xml:space="preserve">Évaluation et reddition de comptes</w:t>
      </w:r>
    </w:p>
    <w:p>
      <w:r>
        <w:rPr>
          <w:rFonts w:ascii="Arial" w:cs="Arial" w:eastAsia="Arial" w:hAnsi="Arial"/>
          <w:color w:val="404040"/>
          <w:sz w:val="22"/>
          <w:szCs w:val="22"/>
        </w:rPr>
        <w:t xml:space="preserve">Le Comité de gouvernance IA rend compte de ses activités selon les modalités suivantes :</w:t>
      </w:r>
    </w:p>
    <w:p>
      <w:pPr>
        <w:pStyle w:val="ListParagraph"/>
        <w:numPr>
          <w:ilvl w:val="0"/>
          <w:numId w:val="2"/>
        </w:numPr>
      </w:pPr>
      <w:r>
        <w:rPr>
          <w:rFonts w:ascii="Arial" w:cs="Arial" w:eastAsia="Arial" w:hAnsi="Arial"/>
          <w:color w:val="404040"/>
          <w:sz w:val="22"/>
          <w:szCs w:val="22"/>
        </w:rPr>
        <w:t xml:space="preserve">Rapport trimestriel à la direction générale</w:t>
      </w:r>
    </w:p>
    <w:p>
      <w:pPr>
        <w:pStyle w:val="ListParagraph"/>
        <w:numPr>
          <w:ilvl w:val="0"/>
          <w:numId w:val="2"/>
        </w:numPr>
      </w:pPr>
      <w:r>
        <w:rPr>
          <w:rFonts w:ascii="Arial" w:cs="Arial" w:eastAsia="Arial" w:hAnsi="Arial"/>
          <w:color w:val="404040"/>
          <w:sz w:val="22"/>
          <w:szCs w:val="22"/>
        </w:rPr>
        <w:t xml:space="preserve">Bilan annuel présenté au conseil d'administration</w:t>
      </w:r>
    </w:p>
    <w:p>
      <w:pPr>
        <w:pStyle w:val="ListParagraph"/>
        <w:numPr>
          <w:ilvl w:val="0"/>
          <w:numId w:val="2"/>
        </w:numPr>
      </w:pPr>
      <w:r>
        <w:rPr>
          <w:rFonts w:ascii="Arial" w:cs="Arial" w:eastAsia="Arial" w:hAnsi="Arial"/>
          <w:color w:val="404040"/>
          <w:sz w:val="22"/>
          <w:szCs w:val="22"/>
        </w:rPr>
        <w:t xml:space="preserve">Auto-évaluation annuelle de l'efficacité du Comité</w:t>
      </w:r>
    </w:p>
    <w:p>
      <w:pPr>
        <w:pStyle w:val="ListParagraph"/>
        <w:numPr>
          <w:ilvl w:val="0"/>
          <w:numId w:val="2"/>
        </w:numPr>
      </w:pPr>
      <w:r>
        <w:rPr>
          <w:rFonts w:ascii="Arial" w:cs="Arial" w:eastAsia="Arial" w:hAnsi="Arial"/>
          <w:color w:val="404040"/>
          <w:sz w:val="22"/>
          <w:szCs w:val="22"/>
        </w:rPr>
        <w:t xml:space="preserve">Révision bisannuelle du mandat et de la composition</w:t>
      </w: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Comité IA - Mandat et composition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2026-03-05T02:16:53.923Z</dcterms:created>
  <dcterms:modified xsi:type="dcterms:W3CDTF">2026-03-05T02:16:53.923Z</dcterms:modified>
</cp:coreProperties>
</file>

<file path=docProps/custom.xml><?xml version="1.0" encoding="utf-8"?>
<Properties xmlns="http://schemas.openxmlformats.org/officeDocument/2006/custom-properties" xmlns:vt="http://schemas.openxmlformats.org/officeDocument/2006/docPropsVTypes"/>
</file>