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Code d'éthique de l'intelligence artificielle</w:t>
      </w:r>
    </w:p>
    <w:p>
      <w:pPr>
        <w:spacing w:after="600"/>
        <w:jc w:val="center"/>
      </w:pPr>
      <w:r>
        <w:rPr>
          <w:rFonts w:ascii="Arial" w:cs="Arial" w:eastAsia="Arial" w:hAnsi="Arial"/>
          <w:color w:val="2E75B6"/>
          <w:sz w:val="24"/>
          <w:szCs w:val="24"/>
        </w:rPr>
        <w:t xml:space="preserve">Principes éthiques et règles directrices pour le développement responsable de l'IA</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Introduction</w:t>
      </w:r>
    </w:p>
    <w:p>
      <w:r>
        <w:rPr>
          <w:rFonts w:ascii="Arial" w:cs="Arial" w:eastAsia="Arial" w:hAnsi="Arial"/>
          <w:color w:val="404040"/>
          <w:sz w:val="22"/>
          <w:szCs w:val="22"/>
        </w:rPr>
        <w:t xml:space="preserve">Le présent code d'éthique de l'intelligence artificielle (IA) établit les principes éthiques fondamentaux qui guident le développement, le déploiement et l'utilisation des systèmes d'IA au sein de [NOM_ORGANISATION]. Il s'inscrit dans le cadre de la responsabilité sociale de l'organisation et du respect des obligations légales, notamment la Loi 25 du Québec et les normes internationales.</w:t>
      </w:r>
    </w:p>
    <w:p>
      <w:pPr>
        <w:spacing w:before="200"/>
      </w:pPr>
    </w:p>
    <w:p>
      <w:pPr>
        <w:pStyle w:val="Heading2"/>
      </w:pPr>
      <w:r>
        <w:t xml:space="preserve">Objectifs du code</w:t>
      </w:r>
    </w:p>
    <w:p>
      <w:pPr>
        <w:pStyle w:val="ListParagraph"/>
        <w:numPr>
          <w:ilvl w:val="0"/>
          <w:numId w:val="2"/>
        </w:numPr>
      </w:pPr>
      <w:r>
        <w:rPr>
          <w:rFonts w:ascii="Arial" w:cs="Arial" w:eastAsia="Arial" w:hAnsi="Arial"/>
          <w:color w:val="404040"/>
          <w:sz w:val="22"/>
          <w:szCs w:val="22"/>
        </w:rPr>
        <w:t xml:space="preserve">Établir un ensemble de principes éthiques clairs et partagés par tous</w:t>
      </w:r>
    </w:p>
    <w:p>
      <w:pPr>
        <w:pStyle w:val="ListParagraph"/>
        <w:numPr>
          <w:ilvl w:val="0"/>
          <w:numId w:val="2"/>
        </w:numPr>
      </w:pPr>
      <w:r>
        <w:rPr>
          <w:rFonts w:ascii="Arial" w:cs="Arial" w:eastAsia="Arial" w:hAnsi="Arial"/>
          <w:color w:val="404040"/>
          <w:sz w:val="22"/>
          <w:szCs w:val="22"/>
        </w:rPr>
        <w:t xml:space="preserve">Orienter les décisions et les actions des équipes impliquées dans l'IA</w:t>
      </w:r>
    </w:p>
    <w:p>
      <w:pPr>
        <w:pStyle w:val="ListParagraph"/>
        <w:numPr>
          <w:ilvl w:val="0"/>
          <w:numId w:val="2"/>
        </w:numPr>
      </w:pPr>
      <w:r>
        <w:rPr>
          <w:rFonts w:ascii="Arial" w:cs="Arial" w:eastAsia="Arial" w:hAnsi="Arial"/>
          <w:color w:val="404040"/>
          <w:sz w:val="22"/>
          <w:szCs w:val="22"/>
        </w:rPr>
        <w:t xml:space="preserve">Assurer la confiance des clients, employés et citoyens</w:t>
      </w:r>
    </w:p>
    <w:p>
      <w:pPr>
        <w:pStyle w:val="ListParagraph"/>
        <w:numPr>
          <w:ilvl w:val="0"/>
          <w:numId w:val="2"/>
        </w:numPr>
      </w:pPr>
      <w:r>
        <w:rPr>
          <w:rFonts w:ascii="Arial" w:cs="Arial" w:eastAsia="Arial" w:hAnsi="Arial"/>
          <w:color w:val="404040"/>
          <w:sz w:val="22"/>
          <w:szCs w:val="22"/>
        </w:rPr>
        <w:t xml:space="preserve">Répondre aux exigences légales et réglementaires du Québec et du Canada</w:t>
      </w:r>
    </w:p>
    <w:p>
      <w:pPr>
        <w:pStyle w:val="ListParagraph"/>
        <w:numPr>
          <w:ilvl w:val="0"/>
          <w:numId w:val="2"/>
        </w:numPr>
      </w:pPr>
      <w:r>
        <w:rPr>
          <w:rFonts w:ascii="Arial" w:cs="Arial" w:eastAsia="Arial" w:hAnsi="Arial"/>
          <w:color w:val="404040"/>
          <w:sz w:val="22"/>
          <w:szCs w:val="22"/>
        </w:rPr>
        <w:t xml:space="preserve">Promouvoir une culture de responsabilité et d'éthique dans l'organisation</w:t>
      </w:r>
    </w:p>
    <w:p>
      <w:pPr>
        <w:pStyle w:val="ListParagraph"/>
        <w:numPr>
          <w:ilvl w:val="0"/>
          <w:numId w:val="2"/>
        </w:numPr>
      </w:pPr>
      <w:r>
        <w:rPr>
          <w:rFonts w:ascii="Arial" w:cs="Arial" w:eastAsia="Arial" w:hAnsi="Arial"/>
          <w:color w:val="404040"/>
          <w:sz w:val="22"/>
          <w:szCs w:val="22"/>
        </w:rPr>
        <w:t xml:space="preserve">Fournir un cadre de référence pour évaluer les dilemmes éthiques</w:t>
      </w:r>
    </w:p>
    <w:p>
      <w:pPr>
        <w:spacing w:before="200"/>
      </w:pPr>
    </w:p>
    <w:p>
      <w:pPr>
        <w:pStyle w:val="Heading1"/>
      </w:pPr>
      <w:r>
        <w:t xml:space="preserve">Principes éthiques fondamentaux</w:t>
      </w:r>
    </w:p>
    <w:p>
      <w:pPr>
        <w:pStyle w:val="Heading2"/>
      </w:pPr>
      <w:r>
        <w:t xml:space="preserve">1. Équité et non-discrimination</w:t>
      </w:r>
    </w:p>
    <w:p>
      <w:r>
        <w:rPr>
          <w:rFonts w:ascii="Arial" w:cs="Arial" w:eastAsia="Arial" w:hAnsi="Arial"/>
          <w:color w:val="404040"/>
          <w:sz w:val="22"/>
          <w:szCs w:val="22"/>
        </w:rPr>
        <w:t xml:space="preserve">Les systèmes d'IA doivent traiter de manière juste et équitable toutes les personnes, indépendamment de leurs caractéristiques protégées (âge, sexe, ethnicité, orientation sexuelle, handicap, etc.).</w:t>
      </w:r>
    </w:p>
    <w:p>
      <w:pPr>
        <w:pStyle w:val="Heading3"/>
      </w:pPr>
      <w:r>
        <w:t xml:space="preserve">Directives d'application:</w:t>
      </w:r>
    </w:p>
    <w:p>
      <w:pPr>
        <w:pStyle w:val="ListParagraph"/>
        <w:numPr>
          <w:ilvl w:val="0"/>
          <w:numId w:val="2"/>
        </w:numPr>
      </w:pPr>
      <w:r>
        <w:rPr>
          <w:rFonts w:ascii="Arial" w:cs="Arial" w:eastAsia="Arial" w:hAnsi="Arial"/>
          <w:color w:val="404040"/>
          <w:sz w:val="22"/>
          <w:szCs w:val="22"/>
        </w:rPr>
        <w:t xml:space="preserve">Identifier et évaluer les risques de discrimination dans les données d'entraînement</w:t>
      </w:r>
    </w:p>
    <w:p>
      <w:pPr>
        <w:pStyle w:val="ListParagraph"/>
        <w:numPr>
          <w:ilvl w:val="0"/>
          <w:numId w:val="2"/>
        </w:numPr>
      </w:pPr>
      <w:r>
        <w:rPr>
          <w:rFonts w:ascii="Arial" w:cs="Arial" w:eastAsia="Arial" w:hAnsi="Arial"/>
          <w:color w:val="404040"/>
          <w:sz w:val="22"/>
          <w:szCs w:val="22"/>
        </w:rPr>
        <w:t xml:space="preserve">Mettre en place des mécanismes pour détecter et atténuer les biais algorithmiques</w:t>
      </w:r>
    </w:p>
    <w:p>
      <w:pPr>
        <w:pStyle w:val="ListParagraph"/>
        <w:numPr>
          <w:ilvl w:val="0"/>
          <w:numId w:val="2"/>
        </w:numPr>
      </w:pPr>
      <w:r>
        <w:rPr>
          <w:rFonts w:ascii="Arial" w:cs="Arial" w:eastAsia="Arial" w:hAnsi="Arial"/>
          <w:color w:val="404040"/>
          <w:sz w:val="22"/>
          <w:szCs w:val="22"/>
        </w:rPr>
        <w:t xml:space="preserve">Effectuer des audits réguliers pour vérifier l'équité des résultats selon les groupes</w:t>
      </w:r>
    </w:p>
    <w:p>
      <w:pPr>
        <w:pStyle w:val="ListParagraph"/>
        <w:numPr>
          <w:ilvl w:val="0"/>
          <w:numId w:val="2"/>
        </w:numPr>
      </w:pPr>
      <w:r>
        <w:rPr>
          <w:rFonts w:ascii="Arial" w:cs="Arial" w:eastAsia="Arial" w:hAnsi="Arial"/>
          <w:color w:val="404040"/>
          <w:sz w:val="22"/>
          <w:szCs w:val="22"/>
        </w:rPr>
        <w:t xml:space="preserve">Documenter les décisions concernant les compromis entre performance et équité</w:t>
      </w:r>
    </w:p>
    <w:p>
      <w:pPr>
        <w:pStyle w:val="ListParagraph"/>
        <w:numPr>
          <w:ilvl w:val="0"/>
          <w:numId w:val="2"/>
        </w:numPr>
      </w:pPr>
      <w:r>
        <w:rPr>
          <w:rFonts w:ascii="Arial" w:cs="Arial" w:eastAsia="Arial" w:hAnsi="Arial"/>
          <w:color w:val="404040"/>
          <w:sz w:val="22"/>
          <w:szCs w:val="22"/>
        </w:rPr>
        <w:t xml:space="preserve">Former les équipes aux biais implicites et à leurs impacts</w:t>
      </w:r>
    </w:p>
    <w:p>
      <w:pPr>
        <w:pStyle w:val="Heading3"/>
      </w:pPr>
      <w:r>
        <w:t xml:space="preserve">Exemples de dilemmes éthiques:</w:t>
      </w:r>
    </w:p>
    <w:p>
      <w:pPr>
        <w:pStyle w:val="ListParagraph"/>
        <w:numPr>
          <w:ilvl w:val="0"/>
          <w:numId w:val="2"/>
        </w:numPr>
      </w:pPr>
      <w:r>
        <w:rPr>
          <w:rFonts w:ascii="Arial" w:cs="Arial" w:eastAsia="Arial" w:hAnsi="Arial"/>
          <w:color w:val="404040"/>
          <w:sz w:val="22"/>
          <w:szCs w:val="22"/>
        </w:rPr>
        <w:t xml:space="preserve">Un système de recrutement basé sur l'IA présente un taux d'acceptation inférieur pour certains groupes démographiques</w:t>
      </w:r>
    </w:p>
    <w:p>
      <w:pPr>
        <w:pStyle w:val="ListParagraph"/>
        <w:numPr>
          <w:ilvl w:val="0"/>
          <w:numId w:val="2"/>
        </w:numPr>
      </w:pPr>
      <w:r>
        <w:rPr>
          <w:rFonts w:ascii="Arial" w:cs="Arial" w:eastAsia="Arial" w:hAnsi="Arial"/>
          <w:color w:val="404040"/>
          <w:sz w:val="22"/>
          <w:szCs w:val="22"/>
        </w:rPr>
        <w:t xml:space="preserve">L'optimisation d'un système de gestion des ressources humaines peut désavantager les personnes en situation de handicap</w:t>
      </w:r>
    </w:p>
    <w:p>
      <w:pPr>
        <w:pStyle w:val="ListParagraph"/>
        <w:numPr>
          <w:ilvl w:val="0"/>
          <w:numId w:val="2"/>
        </w:numPr>
      </w:pPr>
      <w:r>
        <w:rPr>
          <w:rFonts w:ascii="Arial" w:cs="Arial" w:eastAsia="Arial" w:hAnsi="Arial"/>
          <w:color w:val="404040"/>
          <w:sz w:val="22"/>
          <w:szCs w:val="22"/>
        </w:rPr>
        <w:t xml:space="preserve">Un algorithme de notation de crédit discrimine indirectement certaines populations</w:t>
      </w:r>
    </w:p>
    <w:p>
      <w:pPr>
        <w:spacing w:before="200"/>
      </w:pPr>
    </w:p>
    <w:p>
      <w:pPr>
        <w:pStyle w:val="Heading2"/>
      </w:pPr>
      <w:r>
        <w:t xml:space="preserve">2. Transparence et explicabilité</w:t>
      </w:r>
    </w:p>
    <w:p>
      <w:r>
        <w:rPr>
          <w:rFonts w:ascii="Arial" w:cs="Arial" w:eastAsia="Arial" w:hAnsi="Arial"/>
          <w:color w:val="404040"/>
          <w:sz w:val="22"/>
          <w:szCs w:val="22"/>
        </w:rPr>
        <w:t xml:space="preserve">Les personnes affectées par les décisions d'un système d'IA ont le droit de comprendre comment ces décisions sont prises.</w:t>
      </w:r>
    </w:p>
    <w:p>
      <w:pPr>
        <w:pStyle w:val="Heading3"/>
      </w:pPr>
      <w:r>
        <w:t xml:space="preserve">Directives d'application:</w:t>
      </w:r>
    </w:p>
    <w:p>
      <w:pPr>
        <w:pStyle w:val="ListParagraph"/>
        <w:numPr>
          <w:ilvl w:val="0"/>
          <w:numId w:val="2"/>
        </w:numPr>
      </w:pPr>
      <w:r>
        <w:rPr>
          <w:rFonts w:ascii="Arial" w:cs="Arial" w:eastAsia="Arial" w:hAnsi="Arial"/>
          <w:color w:val="404040"/>
          <w:sz w:val="22"/>
          <w:szCs w:val="22"/>
        </w:rPr>
        <w:t xml:space="preserve">Communiquer clairement quand un système d'IA est utilisé dans une décision</w:t>
      </w:r>
    </w:p>
    <w:p>
      <w:pPr>
        <w:pStyle w:val="ListParagraph"/>
        <w:numPr>
          <w:ilvl w:val="0"/>
          <w:numId w:val="2"/>
        </w:numPr>
      </w:pPr>
      <w:r>
        <w:rPr>
          <w:rFonts w:ascii="Arial" w:cs="Arial" w:eastAsia="Arial" w:hAnsi="Arial"/>
          <w:color w:val="404040"/>
          <w:sz w:val="22"/>
          <w:szCs w:val="22"/>
        </w:rPr>
        <w:t xml:space="preserve">Expliquer les facteurs clés qui ont influencé chaque décision</w:t>
      </w:r>
    </w:p>
    <w:p>
      <w:pPr>
        <w:pStyle w:val="ListParagraph"/>
        <w:numPr>
          <w:ilvl w:val="0"/>
          <w:numId w:val="2"/>
        </w:numPr>
      </w:pPr>
      <w:r>
        <w:rPr>
          <w:rFonts w:ascii="Arial" w:cs="Arial" w:eastAsia="Arial" w:hAnsi="Arial"/>
          <w:color w:val="404040"/>
          <w:sz w:val="22"/>
          <w:szCs w:val="22"/>
        </w:rPr>
        <w:t xml:space="preserve">Adapter le niveau de détail d'explication au public cible</w:t>
      </w:r>
    </w:p>
    <w:p>
      <w:pPr>
        <w:pStyle w:val="ListParagraph"/>
        <w:numPr>
          <w:ilvl w:val="0"/>
          <w:numId w:val="2"/>
        </w:numPr>
      </w:pPr>
      <w:r>
        <w:rPr>
          <w:rFonts w:ascii="Arial" w:cs="Arial" w:eastAsia="Arial" w:hAnsi="Arial"/>
          <w:color w:val="404040"/>
          <w:sz w:val="22"/>
          <w:szCs w:val="22"/>
        </w:rPr>
        <w:t xml:space="preserve">Maintenir une documentation technique détaillée et accessible</w:t>
      </w:r>
    </w:p>
    <w:p>
      <w:pPr>
        <w:pStyle w:val="ListParagraph"/>
        <w:numPr>
          <w:ilvl w:val="0"/>
          <w:numId w:val="2"/>
        </w:numPr>
      </w:pPr>
      <w:r>
        <w:rPr>
          <w:rFonts w:ascii="Arial" w:cs="Arial" w:eastAsia="Arial" w:hAnsi="Arial"/>
          <w:color w:val="404040"/>
          <w:sz w:val="22"/>
          <w:szCs w:val="22"/>
        </w:rPr>
        <w:t xml:space="preserve">Implémenter des mécanismes permettant de contester ou demander explication</w:t>
      </w:r>
    </w:p>
    <w:p>
      <w:pPr>
        <w:spacing w:before="200"/>
      </w:pPr>
    </w:p>
    <w:p>
      <w:pPr>
        <w:pStyle w:val="Heading2"/>
      </w:pPr>
      <w:r>
        <w:t xml:space="preserve">3. Responsabilité et redevabilité</w:t>
      </w:r>
    </w:p>
    <w:p>
      <w:r>
        <w:rPr>
          <w:rFonts w:ascii="Arial" w:cs="Arial" w:eastAsia="Arial" w:hAnsi="Arial"/>
          <w:color w:val="404040"/>
          <w:sz w:val="22"/>
          <w:szCs w:val="22"/>
        </w:rPr>
        <w:t xml:space="preserve">L'organisation assume la responsabilité entière des décisions et des impacts des systèmes d'IA.</w:t>
      </w:r>
    </w:p>
    <w:p>
      <w:pPr>
        <w:pStyle w:val="Heading3"/>
      </w:pPr>
      <w:r>
        <w:t xml:space="preserve">Directives d'application:</w:t>
      </w:r>
    </w:p>
    <w:p>
      <w:pPr>
        <w:pStyle w:val="ListParagraph"/>
        <w:numPr>
          <w:ilvl w:val="0"/>
          <w:numId w:val="2"/>
        </w:numPr>
      </w:pPr>
      <w:r>
        <w:rPr>
          <w:rFonts w:ascii="Arial" w:cs="Arial" w:eastAsia="Arial" w:hAnsi="Arial"/>
          <w:color w:val="404040"/>
          <w:sz w:val="22"/>
          <w:szCs w:val="22"/>
        </w:rPr>
        <w:t xml:space="preserve">Désigner un responsable pour chaque système d'IA</w:t>
      </w:r>
    </w:p>
    <w:p>
      <w:pPr>
        <w:pStyle w:val="ListParagraph"/>
        <w:numPr>
          <w:ilvl w:val="0"/>
          <w:numId w:val="2"/>
        </w:numPr>
      </w:pPr>
      <w:r>
        <w:rPr>
          <w:rFonts w:ascii="Arial" w:cs="Arial" w:eastAsia="Arial" w:hAnsi="Arial"/>
          <w:color w:val="404040"/>
          <w:sz w:val="22"/>
          <w:szCs w:val="22"/>
        </w:rPr>
        <w:t xml:space="preserve">Établir des mécanismes de recours et de remédiation</w:t>
      </w:r>
    </w:p>
    <w:p>
      <w:pPr>
        <w:pStyle w:val="ListParagraph"/>
        <w:numPr>
          <w:ilvl w:val="0"/>
          <w:numId w:val="2"/>
        </w:numPr>
      </w:pPr>
      <w:r>
        <w:rPr>
          <w:rFonts w:ascii="Arial" w:cs="Arial" w:eastAsia="Arial" w:hAnsi="Arial"/>
          <w:color w:val="404040"/>
          <w:sz w:val="22"/>
          <w:szCs w:val="22"/>
        </w:rPr>
        <w:t xml:space="preserve">Mettre en place un processus d'audit interne et d'évaluation</w:t>
      </w:r>
    </w:p>
    <w:p>
      <w:pPr>
        <w:pStyle w:val="ListParagraph"/>
        <w:numPr>
          <w:ilvl w:val="0"/>
          <w:numId w:val="2"/>
        </w:numPr>
      </w:pPr>
      <w:r>
        <w:rPr>
          <w:rFonts w:ascii="Arial" w:cs="Arial" w:eastAsia="Arial" w:hAnsi="Arial"/>
          <w:color w:val="404040"/>
          <w:sz w:val="22"/>
          <w:szCs w:val="22"/>
        </w:rPr>
        <w:t xml:space="preserve">Maintenir un registre des décisions automatisées</w:t>
      </w:r>
    </w:p>
    <w:p>
      <w:pPr>
        <w:pStyle w:val="ListParagraph"/>
        <w:numPr>
          <w:ilvl w:val="0"/>
          <w:numId w:val="2"/>
        </w:numPr>
      </w:pPr>
      <w:r>
        <w:rPr>
          <w:rFonts w:ascii="Arial" w:cs="Arial" w:eastAsia="Arial" w:hAnsi="Arial"/>
          <w:color w:val="404040"/>
          <w:sz w:val="22"/>
          <w:szCs w:val="22"/>
        </w:rPr>
        <w:t xml:space="preserve">Publier des rapports périodiques sur les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Conformité à la Loi 25</w:t>
            </w:r>
          </w:p>
          <w:p>
            <w:pPr>
              <w:spacing w:after="0"/>
            </w:pPr>
            <w:r>
              <w:rPr>
                <w:rFonts w:ascii="Arial" w:cs="Arial" w:eastAsia="Arial" w:hAnsi="Arial"/>
                <w:color w:val="404040"/>
                <w:sz w:val="20"/>
                <w:szCs w:val="20"/>
              </w:rPr>
              <w:t xml:space="preserve">La Loi 25 du Québec (article 12.1) exige une explication intelligible des décisions importantes.</w:t>
            </w:r>
          </w:p>
        </w:tc>
      </w:tr>
    </w:tbl>
    <w:p>
      <w:pPr>
        <w:spacing w:before="200"/>
      </w:pPr>
    </w:p>
    <w:p>
      <w:pPr>
        <w:pStyle w:val="Heading2"/>
      </w:pPr>
      <w:r>
        <w:t xml:space="preserve">4. Sécurité et robustesse</w:t>
      </w:r>
    </w:p>
    <w:p>
      <w:r>
        <w:rPr>
          <w:rFonts w:ascii="Arial" w:cs="Arial" w:eastAsia="Arial" w:hAnsi="Arial"/>
          <w:color w:val="404040"/>
          <w:sz w:val="22"/>
          <w:szCs w:val="22"/>
        </w:rPr>
        <w:t xml:space="preserve">Les systèmes d'IA doivent être sécurisés et maintenir une performance stable.</w:t>
      </w:r>
    </w:p>
    <w:p>
      <w:pPr>
        <w:pStyle w:val="Heading3"/>
      </w:pPr>
      <w:r>
        <w:t xml:space="preserve">Directives d'application:</w:t>
      </w:r>
    </w:p>
    <w:p>
      <w:pPr>
        <w:pStyle w:val="ListParagraph"/>
        <w:numPr>
          <w:ilvl w:val="0"/>
          <w:numId w:val="2"/>
        </w:numPr>
      </w:pPr>
      <w:r>
        <w:rPr>
          <w:rFonts w:ascii="Arial" w:cs="Arial" w:eastAsia="Arial" w:hAnsi="Arial"/>
          <w:color w:val="404040"/>
          <w:sz w:val="22"/>
          <w:szCs w:val="22"/>
        </w:rPr>
        <w:t xml:space="preserve">Tester les systèmes d'IA contre les entrées adversariales</w:t>
      </w:r>
    </w:p>
    <w:p>
      <w:pPr>
        <w:pStyle w:val="ListParagraph"/>
        <w:numPr>
          <w:ilvl w:val="0"/>
          <w:numId w:val="2"/>
        </w:numPr>
      </w:pPr>
      <w:r>
        <w:rPr>
          <w:rFonts w:ascii="Arial" w:cs="Arial" w:eastAsia="Arial" w:hAnsi="Arial"/>
          <w:color w:val="404040"/>
          <w:sz w:val="22"/>
          <w:szCs w:val="22"/>
        </w:rPr>
        <w:t xml:space="preserve">Implémenter des mécanismes de détection des anomalies</w:t>
      </w:r>
    </w:p>
    <w:p>
      <w:pPr>
        <w:pStyle w:val="ListParagraph"/>
        <w:numPr>
          <w:ilvl w:val="0"/>
          <w:numId w:val="2"/>
        </w:numPr>
      </w:pPr>
      <w:r>
        <w:rPr>
          <w:rFonts w:ascii="Arial" w:cs="Arial" w:eastAsia="Arial" w:hAnsi="Arial"/>
          <w:color w:val="404040"/>
          <w:sz w:val="22"/>
          <w:szCs w:val="22"/>
        </w:rPr>
        <w:t xml:space="preserve">Maintenir des sauvegardes et procédures de récupération</w:t>
      </w:r>
    </w:p>
    <w:p>
      <w:pPr>
        <w:pStyle w:val="ListParagraph"/>
        <w:numPr>
          <w:ilvl w:val="0"/>
          <w:numId w:val="2"/>
        </w:numPr>
      </w:pPr>
      <w:r>
        <w:rPr>
          <w:rFonts w:ascii="Arial" w:cs="Arial" w:eastAsia="Arial" w:hAnsi="Arial"/>
          <w:color w:val="404040"/>
          <w:sz w:val="22"/>
          <w:szCs w:val="22"/>
        </w:rPr>
        <w:t xml:space="preserve">Monitorer continuellement la performance</w:t>
      </w:r>
    </w:p>
    <w:p>
      <w:pPr>
        <w:pStyle w:val="ListParagraph"/>
        <w:numPr>
          <w:ilvl w:val="0"/>
          <w:numId w:val="2"/>
        </w:numPr>
      </w:pPr>
      <w:r>
        <w:rPr>
          <w:rFonts w:ascii="Arial" w:cs="Arial" w:eastAsia="Arial" w:hAnsi="Arial"/>
          <w:color w:val="404040"/>
          <w:sz w:val="22"/>
          <w:szCs w:val="22"/>
        </w:rPr>
        <w:t xml:space="preserve">Établir des seuils critiques pour intervention humaine</w:t>
      </w:r>
    </w:p>
    <w:p>
      <w:pPr>
        <w:spacing w:before="200"/>
      </w:pPr>
    </w:p>
    <w:p>
      <w:pPr>
        <w:pStyle w:val="Heading2"/>
      </w:pPr>
      <w:r>
        <w:t xml:space="preserve">5. Respect de la vie privée et confidentialité</w:t>
      </w:r>
    </w:p>
    <w:p>
      <w:r>
        <w:rPr>
          <w:rFonts w:ascii="Arial" w:cs="Arial" w:eastAsia="Arial" w:hAnsi="Arial"/>
          <w:color w:val="404040"/>
          <w:sz w:val="22"/>
          <w:szCs w:val="22"/>
        </w:rPr>
        <w:t xml:space="preserve">Les systèmes d'IA doivent protéger les données personnelles conformément à la Loi 25.</w:t>
      </w:r>
    </w:p>
    <w:p>
      <w:pPr>
        <w:pStyle w:val="Heading3"/>
      </w:pPr>
      <w:r>
        <w:t xml:space="preserve">Directives d'application:</w:t>
      </w:r>
    </w:p>
    <w:p>
      <w:pPr>
        <w:pStyle w:val="ListParagraph"/>
        <w:numPr>
          <w:ilvl w:val="0"/>
          <w:numId w:val="2"/>
        </w:numPr>
      </w:pPr>
      <w:r>
        <w:rPr>
          <w:rFonts w:ascii="Arial" w:cs="Arial" w:eastAsia="Arial" w:hAnsi="Arial"/>
          <w:color w:val="404040"/>
          <w:sz w:val="22"/>
          <w:szCs w:val="22"/>
        </w:rPr>
        <w:t xml:space="preserve">Appliquer le principe de minimisation des données</w:t>
      </w:r>
    </w:p>
    <w:p>
      <w:pPr>
        <w:pStyle w:val="ListParagraph"/>
        <w:numPr>
          <w:ilvl w:val="0"/>
          <w:numId w:val="2"/>
        </w:numPr>
      </w:pPr>
      <w:r>
        <w:rPr>
          <w:rFonts w:ascii="Arial" w:cs="Arial" w:eastAsia="Arial" w:hAnsi="Arial"/>
          <w:color w:val="404040"/>
          <w:sz w:val="22"/>
          <w:szCs w:val="22"/>
        </w:rPr>
        <w:t xml:space="preserve">Anonymiser ou pseudonymiser les données chaque fois que possible</w:t>
      </w:r>
    </w:p>
    <w:p>
      <w:pPr>
        <w:pStyle w:val="ListParagraph"/>
        <w:numPr>
          <w:ilvl w:val="0"/>
          <w:numId w:val="2"/>
        </w:numPr>
      </w:pPr>
      <w:r>
        <w:rPr>
          <w:rFonts w:ascii="Arial" w:cs="Arial" w:eastAsia="Arial" w:hAnsi="Arial"/>
          <w:color w:val="404040"/>
          <w:sz w:val="22"/>
          <w:szCs w:val="22"/>
        </w:rPr>
        <w:t xml:space="preserve">Limiter l'accès aux données aux personnes autorisées</w:t>
      </w:r>
    </w:p>
    <w:p>
      <w:pPr>
        <w:pStyle w:val="ListParagraph"/>
        <w:numPr>
          <w:ilvl w:val="0"/>
          <w:numId w:val="2"/>
        </w:numPr>
      </w:pPr>
      <w:r>
        <w:rPr>
          <w:rFonts w:ascii="Arial" w:cs="Arial" w:eastAsia="Arial" w:hAnsi="Arial"/>
          <w:color w:val="404040"/>
          <w:sz w:val="22"/>
          <w:szCs w:val="22"/>
        </w:rPr>
        <w:t xml:space="preserve">Implémenter le droit à l'oubli</w:t>
      </w:r>
    </w:p>
    <w:p>
      <w:pPr>
        <w:pStyle w:val="ListParagraph"/>
        <w:numPr>
          <w:ilvl w:val="0"/>
          <w:numId w:val="2"/>
        </w:numPr>
      </w:pPr>
      <w:r>
        <w:rPr>
          <w:rFonts w:ascii="Arial" w:cs="Arial" w:eastAsia="Arial" w:hAnsi="Arial"/>
          <w:color w:val="404040"/>
          <w:sz w:val="22"/>
          <w:szCs w:val="22"/>
        </w:rPr>
        <w:t xml:space="preserve">Réaliser une évaluation des impacts sur la vie privée</w:t>
      </w:r>
    </w:p>
    <w:p>
      <w:pPr>
        <w:spacing w:before="200"/>
      </w:pPr>
    </w:p>
    <w:p>
      <w:pPr>
        <w:pStyle w:val="Heading2"/>
      </w:pPr>
      <w:r>
        <w:t xml:space="preserve">6. Responsabilité environnementale et sociale</w:t>
      </w:r>
    </w:p>
    <w:p>
      <w:r>
        <w:rPr>
          <w:rFonts w:ascii="Arial" w:cs="Arial" w:eastAsia="Arial" w:hAnsi="Arial"/>
          <w:color w:val="404040"/>
          <w:sz w:val="22"/>
          <w:szCs w:val="22"/>
        </w:rPr>
        <w:t xml:space="preserve">L'organisation reconnaît l'impact environnemental et social des systèmes d'IA.</w:t>
      </w:r>
    </w:p>
    <w:p>
      <w:pPr>
        <w:pStyle w:val="Heading3"/>
      </w:pPr>
      <w:r>
        <w:t xml:space="preserve">Directives d'application:</w:t>
      </w:r>
    </w:p>
    <w:p>
      <w:pPr>
        <w:pStyle w:val="ListParagraph"/>
        <w:numPr>
          <w:ilvl w:val="0"/>
          <w:numId w:val="2"/>
        </w:numPr>
      </w:pPr>
      <w:r>
        <w:rPr>
          <w:rFonts w:ascii="Arial" w:cs="Arial" w:eastAsia="Arial" w:hAnsi="Arial"/>
          <w:color w:val="404040"/>
          <w:sz w:val="22"/>
          <w:szCs w:val="22"/>
        </w:rPr>
        <w:t xml:space="preserve">Évaluer et réduire l'empreinte carbone des modèles d'IA</w:t>
      </w:r>
    </w:p>
    <w:p>
      <w:pPr>
        <w:pStyle w:val="ListParagraph"/>
        <w:numPr>
          <w:ilvl w:val="0"/>
          <w:numId w:val="2"/>
        </w:numPr>
      </w:pPr>
      <w:r>
        <w:rPr>
          <w:rFonts w:ascii="Arial" w:cs="Arial" w:eastAsia="Arial" w:hAnsi="Arial"/>
          <w:color w:val="404040"/>
          <w:sz w:val="22"/>
          <w:szCs w:val="22"/>
        </w:rPr>
        <w:t xml:space="preserve">Considérer les impacts sociaux des systèmes d'IA</w:t>
      </w:r>
    </w:p>
    <w:p>
      <w:pPr>
        <w:pStyle w:val="ListParagraph"/>
        <w:numPr>
          <w:ilvl w:val="0"/>
          <w:numId w:val="2"/>
        </w:numPr>
      </w:pPr>
      <w:r>
        <w:rPr>
          <w:rFonts w:ascii="Arial" w:cs="Arial" w:eastAsia="Arial" w:hAnsi="Arial"/>
          <w:color w:val="404040"/>
          <w:sz w:val="22"/>
          <w:szCs w:val="22"/>
        </w:rPr>
        <w:t xml:space="preserve">Favoriser l'utilisation responsable des ressources</w:t>
      </w:r>
    </w:p>
    <w:p>
      <w:pPr>
        <w:pStyle w:val="ListParagraph"/>
        <w:numPr>
          <w:ilvl w:val="0"/>
          <w:numId w:val="2"/>
        </w:numPr>
      </w:pPr>
      <w:r>
        <w:rPr>
          <w:rFonts w:ascii="Arial" w:cs="Arial" w:eastAsia="Arial" w:hAnsi="Arial"/>
          <w:color w:val="404040"/>
          <w:sz w:val="22"/>
          <w:szCs w:val="22"/>
        </w:rPr>
        <w:t xml:space="preserve">Promouvoir la transparence sur les impacts</w:t>
      </w:r>
    </w:p>
    <w:p>
      <w:pPr>
        <w:pStyle w:val="ListParagraph"/>
        <w:numPr>
          <w:ilvl w:val="0"/>
          <w:numId w:val="2"/>
        </w:numPr>
      </w:pPr>
      <w:r>
        <w:rPr>
          <w:rFonts w:ascii="Arial" w:cs="Arial" w:eastAsia="Arial" w:hAnsi="Arial"/>
          <w:color w:val="404040"/>
          <w:sz w:val="22"/>
          <w:szCs w:val="22"/>
        </w:rPr>
        <w:t xml:space="preserve">Adopter des principes d'économie circulaire</w:t>
      </w:r>
    </w:p>
    <w:p>
      <w:pPr>
        <w:spacing w:before="200"/>
      </w:pPr>
    </w:p>
    <w:p>
      <w:pPr>
        <w:pStyle w:val="Heading1"/>
      </w:pPr>
      <w:r>
        <w:t xml:space="preserve">Mécanismes de conformité et d'application</w:t>
      </w:r>
    </w:p>
    <w:p>
      <w:pPr>
        <w:pStyle w:val="Heading2"/>
      </w:pPr>
      <w:r>
        <w:t xml:space="preserve">Évaluation éthique ex-ante</w:t>
      </w:r>
    </w:p>
    <w:p>
      <w:r>
        <w:rPr>
          <w:rFonts w:ascii="Arial" w:cs="Arial" w:eastAsia="Arial" w:hAnsi="Arial"/>
          <w:color w:val="404040"/>
          <w:sz w:val="22"/>
          <w:szCs w:val="22"/>
        </w:rPr>
        <w:t xml:space="preserve">Avant le déploiement de tout système d'IA, une évaluation éthique formelle doit être menée.</w:t>
      </w:r>
    </w:p>
    <w:p>
      <w:pPr>
        <w:pStyle w:val="Heading2"/>
      </w:pPr>
      <w:r>
        <w:t xml:space="preserve">Monitoring et audit</w:t>
      </w:r>
    </w:p>
    <w:p>
      <w:r>
        <w:rPr>
          <w:rFonts w:ascii="Arial" w:cs="Arial" w:eastAsia="Arial" w:hAnsi="Arial"/>
          <w:color w:val="404040"/>
          <w:sz w:val="22"/>
          <w:szCs w:val="22"/>
        </w:rPr>
        <w:t xml:space="preserve">Un système de monitoring et d'audit continu assure le respect du code.</w:t>
      </w:r>
    </w:p>
    <w:p>
      <w:pPr>
        <w:pStyle w:val="Heading2"/>
      </w:pPr>
      <w:r>
        <w:t xml:space="preserve">Processus de remédiation</w:t>
      </w:r>
    </w:p>
    <w:p>
      <w:r>
        <w:rPr>
          <w:rFonts w:ascii="Arial" w:cs="Arial" w:eastAsia="Arial" w:hAnsi="Arial"/>
          <w:color w:val="404040"/>
          <w:sz w:val="22"/>
          <w:szCs w:val="22"/>
        </w:rPr>
        <w:t xml:space="preserve">En cas de violation ou d'impact éthique négatif.</w:t>
      </w:r>
    </w:p>
    <w:p>
      <w:pPr>
        <w:pStyle w:val="Heading1"/>
      </w:pPr>
      <w:r>
        <w:t xml:space="preserve">Formation et sensibilisation</w:t>
      </w:r>
    </w:p>
    <w:p>
      <w:r>
        <w:rPr>
          <w:rFonts w:ascii="Arial" w:cs="Arial" w:eastAsia="Arial" w:hAnsi="Arial"/>
          <w:color w:val="404040"/>
          <w:sz w:val="22"/>
          <w:szCs w:val="22"/>
        </w:rPr>
        <w:t xml:space="preserve">Tous les employés impliqués dans le développement doivent recevoir une formation appropriée.</w:t>
      </w:r>
    </w:p>
    <w:p>
      <w:pPr>
        <w:pStyle w:val="Heading1"/>
      </w:pPr>
      <w:r>
        <w:t xml:space="preserve">Escalade et gouvernance</w:t>
      </w:r>
    </w:p>
    <w:p>
      <w:r>
        <w:rPr>
          <w:rFonts w:ascii="Arial" w:cs="Arial" w:eastAsia="Arial" w:hAnsi="Arial"/>
          <w:color w:val="404040"/>
          <w:sz w:val="22"/>
          <w:szCs w:val="22"/>
        </w:rPr>
        <w:t xml:space="preserve">Un mécanisme d'escalade clair est établi pour les questions éthiques complexes.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Niveau</w:t>
            </w:r>
          </w:p>
        </w:tc>
        <w:tc>
          <w:tcPr>
            <w:tcW w:type="dxa" w:w="2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Autorité</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Exemples de problèmes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Niveau 1</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 du projet IA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Désaccord sur l'interprétation des directives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Niveau 2</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Problème éthique substantiel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Niveau 3</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d'éthique IA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Dilemme éthique majeur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Niveau 4</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Incident grave</w:t>
            </w:r>
          </w:p>
        </w:tc>
      </w:tr>
    </w:tbl>
    <w:p>
      <w:pPr>
        <w:spacing w:before="200"/>
      </w:pP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UNESCO - Recommandations sur l'éthique de l'intelligence artificielle (2021)</w:t>
      </w:r>
    </w:p>
    <w:p>
      <w:pPr>
        <w:pStyle w:val="ListParagraph"/>
        <w:numPr>
          <w:ilvl w:val="0"/>
          <w:numId w:val="2"/>
        </w:numPr>
      </w:pPr>
      <w:r>
        <w:rPr>
          <w:rFonts w:ascii="Arial" w:cs="Arial" w:eastAsia="Arial" w:hAnsi="Arial"/>
          <w:color w:val="404040"/>
          <w:sz w:val="22"/>
          <w:szCs w:val="22"/>
        </w:rPr>
        <w:t xml:space="preserve">Montreal Declaration on Responsible AI</w:t>
      </w:r>
    </w:p>
    <w:p>
      <w:pPr>
        <w:pStyle w:val="ListParagraph"/>
        <w:numPr>
          <w:ilvl w:val="0"/>
          <w:numId w:val="2"/>
        </w:numPr>
      </w:pPr>
      <w:r>
        <w:rPr>
          <w:rFonts w:ascii="Arial" w:cs="Arial" w:eastAsia="Arial" w:hAnsi="Arial"/>
          <w:color w:val="404040"/>
          <w:sz w:val="22"/>
          <w:szCs w:val="22"/>
        </w:rPr>
        <w:t xml:space="preserve">OCDE - Principes de l'IA (2019)</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d'éthique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Évalue les dilemmes éthiques, approuve les évaluations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Data Protection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Préparation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Constituer le comité d'éthique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Déploiement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Intégrer le code dans les processus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[DATE_DEPLOIEMENT]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Monitoring</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Évaluer la conformité</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[DATE_MONITORING]</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Code d'éthique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Document formalisant les principes éthiques pour l'IA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Dilemme éthique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Situation où plusieurs principes éthiques sont en tension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à produire des résultats inéquitables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Code d'éthique de l'intelligence artificielle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2026-03-05T02:18:31.440Z</dcterms:created>
  <dcterms:modified xsi:type="dcterms:W3CDTF">2026-03-05T02:18:31.440Z</dcterms:modified>
</cp:coreProperties>
</file>

<file path=docProps/custom.xml><?xml version="1.0" encoding="utf-8"?>
<Properties xmlns="http://schemas.openxmlformats.org/officeDocument/2006/custom-properties" xmlns:vt="http://schemas.openxmlformats.org/officeDocument/2006/docPropsVTypes"/>
</file>