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Principes directeurs de l'intelligence artificielle responsable</w:t>
      </w:r>
    </w:p>
    <w:p>
      <w:pPr>
        <w:spacing w:after="600"/>
        <w:jc w:val="center"/>
      </w:pPr>
      <w:r>
        <w:rPr>
          <w:rFonts w:ascii="Arial" w:cs="Arial" w:eastAsia="Arial" w:hAnsi="Arial"/>
          <w:color w:val="2E75B6"/>
          <w:sz w:val="24"/>
          <w:szCs w:val="24"/>
        </w:rPr>
        <w:t xml:space="preserve">Déclaration formelle des valeurs éthiques et standards de gouvernance de l'IA</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Le présent document énonce les principes directeurs de l'intelligence artificielle responsable (IA responsable) au sein de [NOM_ORGANISATION].</w:t>
      </w:r>
    </w:p>
    <w:p>
      <w:pPr>
        <w:spacing w:before="200"/>
      </w:pPr>
    </w:p>
    <w:p>
      <w:pPr>
        <w:pStyle w:val="Heading1"/>
      </w:pPr>
      <w:r>
        <w:t xml:space="preserve">Principes directeurs formels</w:t>
      </w:r>
    </w:p>
    <w:p>
      <w:pPr>
        <w:pStyle w:val="Heading2"/>
      </w:pPr>
      <w:r>
        <w:t xml:space="preserve">Principe 1: Explicabilité</w:t>
      </w:r>
    </w:p>
    <w:p>
      <w:r>
        <w:rPr>
          <w:rFonts w:ascii="Arial" w:cs="Arial" w:eastAsia="Arial" w:hAnsi="Arial"/>
          <w:color w:val="404040"/>
          <w:sz w:val="22"/>
          <w:szCs w:val="22"/>
        </w:rPr>
        <w:t xml:space="preserve">Nous nous engageons à rendre explicables et compréhensibles les décisions prises par nos systèmes d'IA.</w:t>
      </w:r>
    </w:p>
    <w:p>
      <w:pPr>
        <w:pStyle w:val="Heading3"/>
      </w:pPr>
      <w:r>
        <w:t xml:space="preserve">Définition:</w:t>
      </w:r>
    </w:p>
    <w:p>
      <w:r>
        <w:rPr>
          <w:rFonts w:ascii="Arial" w:cs="Arial" w:eastAsia="Arial" w:hAnsi="Arial"/>
          <w:color w:val="404040"/>
          <w:sz w:val="22"/>
          <w:szCs w:val="22"/>
        </w:rPr>
        <w:t xml:space="preserve">L'explicabilité est la capacité à fournir une explication claire et compréhensible du fonctionnement d'un système d'IA.</w:t>
      </w:r>
    </w:p>
    <w:p>
      <w:pPr>
        <w:pStyle w:val="Heading3"/>
      </w:pPr>
      <w:r>
        <w:t xml:space="preserve">Engagement organisationnel:</w:t>
      </w:r>
    </w:p>
    <w:p>
      <w:pPr>
        <w:pStyle w:val="ListParagraph"/>
        <w:numPr>
          <w:ilvl w:val="0"/>
          <w:numId w:val="2"/>
        </w:numPr>
      </w:pPr>
      <w:r>
        <w:rPr>
          <w:rFonts w:ascii="Arial" w:cs="Arial" w:eastAsia="Arial" w:hAnsi="Arial"/>
          <w:color w:val="404040"/>
          <w:sz w:val="22"/>
          <w:szCs w:val="22"/>
        </w:rPr>
        <w:t xml:space="preserve">Déployer exclusivement des systèmes d'IA explicables</w:t>
      </w:r>
    </w:p>
    <w:p>
      <w:pPr>
        <w:pStyle w:val="ListParagraph"/>
        <w:numPr>
          <w:ilvl w:val="0"/>
          <w:numId w:val="2"/>
        </w:numPr>
      </w:pPr>
      <w:r>
        <w:rPr>
          <w:rFonts w:ascii="Arial" w:cs="Arial" w:eastAsia="Arial" w:hAnsi="Arial"/>
          <w:color w:val="404040"/>
          <w:sz w:val="22"/>
          <w:szCs w:val="22"/>
        </w:rPr>
        <w:t xml:space="preserve">Adapter le niveau de détail de l'explication au public cible</w:t>
      </w:r>
    </w:p>
    <w:p>
      <w:pPr>
        <w:pStyle w:val="ListParagraph"/>
        <w:numPr>
          <w:ilvl w:val="0"/>
          <w:numId w:val="2"/>
        </w:numPr>
      </w:pPr>
      <w:r>
        <w:rPr>
          <w:rFonts w:ascii="Arial" w:cs="Arial" w:eastAsia="Arial" w:hAnsi="Arial"/>
          <w:color w:val="404040"/>
          <w:sz w:val="22"/>
          <w:szCs w:val="22"/>
        </w:rPr>
        <w:t xml:space="preserve">Mettre à disposition des mécanismes de contestation</w:t>
      </w:r>
    </w:p>
    <w:p>
      <w:pPr>
        <w:pStyle w:val="ListParagraph"/>
        <w:numPr>
          <w:ilvl w:val="0"/>
          <w:numId w:val="2"/>
        </w:numPr>
      </w:pPr>
      <w:r>
        <w:rPr>
          <w:rFonts w:ascii="Arial" w:cs="Arial" w:eastAsia="Arial" w:hAnsi="Arial"/>
          <w:color w:val="404040"/>
          <w:sz w:val="22"/>
          <w:szCs w:val="22"/>
        </w:rPr>
        <w:t xml:space="preserve">Documenter techniquement chaque système</w:t>
      </w:r>
    </w:p>
    <w:p>
      <w:pPr>
        <w:pStyle w:val="ListParagraph"/>
        <w:numPr>
          <w:ilvl w:val="0"/>
          <w:numId w:val="2"/>
        </w:numPr>
      </w:pPr>
      <w:r>
        <w:rPr>
          <w:rFonts w:ascii="Arial" w:cs="Arial" w:eastAsia="Arial" w:hAnsi="Arial"/>
          <w:color w:val="404040"/>
          <w:sz w:val="22"/>
          <w:szCs w:val="22"/>
        </w:rPr>
        <w:t xml:space="preserve">Promouvoir l'utilisation de méthodes interprétables</w:t>
      </w:r>
    </w:p>
    <w:p>
      <w:pPr>
        <w:spacing w:before="200"/>
      </w:pPr>
    </w:p>
    <w:p>
      <w:pPr>
        <w:pStyle w:val="Heading2"/>
      </w:pPr>
      <w:r>
        <w:t xml:space="preserve">Principe 2: Équité</w:t>
      </w:r>
    </w:p>
    <w:p>
      <w:r>
        <w:rPr>
          <w:rFonts w:ascii="Arial" w:cs="Arial" w:eastAsia="Arial" w:hAnsi="Arial"/>
          <w:color w:val="404040"/>
          <w:sz w:val="22"/>
          <w:szCs w:val="22"/>
        </w:rPr>
        <w:t xml:space="preserve">Nous nous engageons à développer des systèmes d'IA qui traitent de manière équitable toutes les personnes.</w:t>
      </w:r>
    </w:p>
    <w:p>
      <w:pPr>
        <w:pStyle w:val="Heading3"/>
      </w:pPr>
      <w:r>
        <w:t xml:space="preserve">Engagement organisationnel:</w:t>
      </w:r>
    </w:p>
    <w:p>
      <w:pPr>
        <w:pStyle w:val="ListParagraph"/>
        <w:numPr>
          <w:ilvl w:val="0"/>
          <w:numId w:val="2"/>
        </w:numPr>
      </w:pPr>
      <w:r>
        <w:rPr>
          <w:rFonts w:ascii="Arial" w:cs="Arial" w:eastAsia="Arial" w:hAnsi="Arial"/>
          <w:color w:val="404040"/>
          <w:sz w:val="22"/>
          <w:szCs w:val="22"/>
        </w:rPr>
        <w:t xml:space="preserve">Évaluer régulièrement les systèmes pour détecter les biais</w:t>
      </w:r>
    </w:p>
    <w:p>
      <w:pPr>
        <w:pStyle w:val="ListParagraph"/>
        <w:numPr>
          <w:ilvl w:val="0"/>
          <w:numId w:val="2"/>
        </w:numPr>
      </w:pPr>
      <w:r>
        <w:rPr>
          <w:rFonts w:ascii="Arial" w:cs="Arial" w:eastAsia="Arial" w:hAnsi="Arial"/>
          <w:color w:val="404040"/>
          <w:sz w:val="22"/>
          <w:szCs w:val="22"/>
        </w:rPr>
        <w:t xml:space="preserve">Mettre en œuvre des mesures d'atténuation</w:t>
      </w:r>
    </w:p>
    <w:p>
      <w:pPr>
        <w:pStyle w:val="ListParagraph"/>
        <w:numPr>
          <w:ilvl w:val="0"/>
          <w:numId w:val="2"/>
        </w:numPr>
      </w:pPr>
      <w:r>
        <w:rPr>
          <w:rFonts w:ascii="Arial" w:cs="Arial" w:eastAsia="Arial" w:hAnsi="Arial"/>
          <w:color w:val="404040"/>
          <w:sz w:val="22"/>
          <w:szCs w:val="22"/>
        </w:rPr>
        <w:t xml:space="preserve">Monitorer continuellement l'équité des résultats</w:t>
      </w:r>
    </w:p>
    <w:p>
      <w:pPr>
        <w:pStyle w:val="ListParagraph"/>
        <w:numPr>
          <w:ilvl w:val="0"/>
          <w:numId w:val="2"/>
        </w:numPr>
      </w:pPr>
      <w:r>
        <w:rPr>
          <w:rFonts w:ascii="Arial" w:cs="Arial" w:eastAsia="Arial" w:hAnsi="Arial"/>
          <w:color w:val="404040"/>
          <w:sz w:val="22"/>
          <w:szCs w:val="22"/>
        </w:rPr>
        <w:t xml:space="preserve">Consulter les groupes potentiellement affectés</w:t>
      </w:r>
    </w:p>
    <w:p>
      <w:pPr>
        <w:pStyle w:val="ListParagraph"/>
        <w:numPr>
          <w:ilvl w:val="0"/>
          <w:numId w:val="2"/>
        </w:numPr>
      </w:pPr>
      <w:r>
        <w:rPr>
          <w:rFonts w:ascii="Arial" w:cs="Arial" w:eastAsia="Arial" w:hAnsi="Arial"/>
          <w:color w:val="404040"/>
          <w:sz w:val="22"/>
          <w:szCs w:val="22"/>
        </w:rPr>
        <w:t xml:space="preserve">Documenter les compromis entre performance et équité</w:t>
      </w:r>
    </w:p>
    <w:p>
      <w:pPr>
        <w:spacing w:before="200"/>
      </w:pPr>
    </w:p>
    <w:p>
      <w:pPr>
        <w:pStyle w:val="Heading2"/>
      </w:pPr>
      <w:r>
        <w:t xml:space="preserve">Principe 3: Sécurité et robustesse</w:t>
      </w:r>
    </w:p>
    <w:p>
      <w:r>
        <w:rPr>
          <w:rFonts w:ascii="Arial" w:cs="Arial" w:eastAsia="Arial" w:hAnsi="Arial"/>
          <w:color w:val="404040"/>
          <w:sz w:val="22"/>
          <w:szCs w:val="22"/>
        </w:rPr>
        <w:t xml:space="preserve">Nous nous engageons à développer des systèmes d'IA sécurisés et fiables.</w:t>
      </w:r>
    </w:p>
    <w:p>
      <w:pPr>
        <w:pStyle w:val="Heading3"/>
      </w:pPr>
      <w:r>
        <w:t xml:space="preserve">Engagement organisationnel:</w:t>
      </w:r>
    </w:p>
    <w:p>
      <w:pPr>
        <w:pStyle w:val="ListParagraph"/>
        <w:numPr>
          <w:ilvl w:val="0"/>
          <w:numId w:val="2"/>
        </w:numPr>
      </w:pPr>
      <w:r>
        <w:rPr>
          <w:rFonts w:ascii="Arial" w:cs="Arial" w:eastAsia="Arial" w:hAnsi="Arial"/>
          <w:color w:val="404040"/>
          <w:sz w:val="22"/>
          <w:szCs w:val="22"/>
        </w:rPr>
        <w:t xml:space="preserve">Tester rigoureusement la robustesse avant déploiement</w:t>
      </w:r>
    </w:p>
    <w:p>
      <w:pPr>
        <w:pStyle w:val="ListParagraph"/>
        <w:numPr>
          <w:ilvl w:val="0"/>
          <w:numId w:val="2"/>
        </w:numPr>
      </w:pPr>
      <w:r>
        <w:rPr>
          <w:rFonts w:ascii="Arial" w:cs="Arial" w:eastAsia="Arial" w:hAnsi="Arial"/>
          <w:color w:val="404040"/>
          <w:sz w:val="22"/>
          <w:szCs w:val="22"/>
        </w:rPr>
        <w:t xml:space="preserve">Implémenter des mécanismes de détection d'anomalies</w:t>
      </w:r>
    </w:p>
    <w:p>
      <w:pPr>
        <w:pStyle w:val="ListParagraph"/>
        <w:numPr>
          <w:ilvl w:val="0"/>
          <w:numId w:val="2"/>
        </w:numPr>
      </w:pPr>
      <w:r>
        <w:rPr>
          <w:rFonts w:ascii="Arial" w:cs="Arial" w:eastAsia="Arial" w:hAnsi="Arial"/>
          <w:color w:val="404040"/>
          <w:sz w:val="22"/>
          <w:szCs w:val="22"/>
        </w:rPr>
        <w:t xml:space="preserve">Établir des seuils d'escalade</w:t>
      </w:r>
    </w:p>
    <w:p>
      <w:pPr>
        <w:pStyle w:val="ListParagraph"/>
        <w:numPr>
          <w:ilvl w:val="0"/>
          <w:numId w:val="2"/>
        </w:numPr>
      </w:pPr>
      <w:r>
        <w:rPr>
          <w:rFonts w:ascii="Arial" w:cs="Arial" w:eastAsia="Arial" w:hAnsi="Arial"/>
          <w:color w:val="404040"/>
          <w:sz w:val="22"/>
          <w:szCs w:val="22"/>
        </w:rPr>
        <w:t xml:space="preserve">Maintenir des capacités de récupération</w:t>
      </w:r>
    </w:p>
    <w:p>
      <w:pPr>
        <w:pStyle w:val="ListParagraph"/>
        <w:numPr>
          <w:ilvl w:val="0"/>
          <w:numId w:val="2"/>
        </w:numPr>
      </w:pPr>
      <w:r>
        <w:rPr>
          <w:rFonts w:ascii="Arial" w:cs="Arial" w:eastAsia="Arial" w:hAnsi="Arial"/>
          <w:color w:val="404040"/>
          <w:sz w:val="22"/>
          <w:szCs w:val="22"/>
        </w:rPr>
        <w:t xml:space="preserve">Évaluer les risques de cybersécurité</w:t>
      </w:r>
    </w:p>
    <w:p>
      <w:pPr>
        <w:spacing w:before="200"/>
      </w:pPr>
    </w:p>
    <w:p>
      <w:pPr>
        <w:pStyle w:val="Heading2"/>
      </w:pPr>
      <w:r>
        <w:t xml:space="preserve">Principe 4: Protection de la vie privée</w:t>
      </w:r>
    </w:p>
    <w:p>
      <w:r>
        <w:rPr>
          <w:rFonts w:ascii="Arial" w:cs="Arial" w:eastAsia="Arial" w:hAnsi="Arial"/>
          <w:color w:val="404040"/>
          <w:sz w:val="22"/>
          <w:szCs w:val="22"/>
        </w:rPr>
        <w:t xml:space="preserve">Nous nous engageons à protéger la vie privée et les données personnelles.</w:t>
      </w:r>
    </w:p>
    <w:p>
      <w:pPr>
        <w:pStyle w:val="Heading3"/>
      </w:pPr>
      <w:r>
        <w:t xml:space="preserve">Engagement organisationnel:</w:t>
      </w:r>
    </w:p>
    <w:p>
      <w:pPr>
        <w:pStyle w:val="ListParagraph"/>
        <w:numPr>
          <w:ilvl w:val="0"/>
          <w:numId w:val="2"/>
        </w:numPr>
      </w:pPr>
      <w:r>
        <w:rPr>
          <w:rFonts w:ascii="Arial" w:cs="Arial" w:eastAsia="Arial" w:hAnsi="Arial"/>
          <w:color w:val="404040"/>
          <w:sz w:val="22"/>
          <w:szCs w:val="22"/>
        </w:rPr>
        <w:t xml:space="preserve">Appliquer le principe de minimisation des données</w:t>
      </w:r>
    </w:p>
    <w:p>
      <w:pPr>
        <w:pStyle w:val="ListParagraph"/>
        <w:numPr>
          <w:ilvl w:val="0"/>
          <w:numId w:val="2"/>
        </w:numPr>
      </w:pPr>
      <w:r>
        <w:rPr>
          <w:rFonts w:ascii="Arial" w:cs="Arial" w:eastAsia="Arial" w:hAnsi="Arial"/>
          <w:color w:val="404040"/>
          <w:sz w:val="22"/>
          <w:szCs w:val="22"/>
        </w:rPr>
        <w:t xml:space="preserve">Anonymiser ou pseudonymiser les données</w:t>
      </w:r>
    </w:p>
    <w:p>
      <w:pPr>
        <w:pStyle w:val="ListParagraph"/>
        <w:numPr>
          <w:ilvl w:val="0"/>
          <w:numId w:val="2"/>
        </w:numPr>
      </w:pPr>
      <w:r>
        <w:rPr>
          <w:rFonts w:ascii="Arial" w:cs="Arial" w:eastAsia="Arial" w:hAnsi="Arial"/>
          <w:color w:val="404040"/>
          <w:sz w:val="22"/>
          <w:szCs w:val="22"/>
        </w:rPr>
        <w:t xml:space="preserve">Mettre en œuvre des mécanismes de chiffrement</w:t>
      </w:r>
    </w:p>
    <w:p>
      <w:pPr>
        <w:pStyle w:val="ListParagraph"/>
        <w:numPr>
          <w:ilvl w:val="0"/>
          <w:numId w:val="2"/>
        </w:numPr>
      </w:pPr>
      <w:r>
        <w:rPr>
          <w:rFonts w:ascii="Arial" w:cs="Arial" w:eastAsia="Arial" w:hAnsi="Arial"/>
          <w:color w:val="404040"/>
          <w:sz w:val="22"/>
          <w:szCs w:val="22"/>
        </w:rPr>
        <w:t xml:space="preserve">Respecter les droits des personnes</w:t>
      </w:r>
    </w:p>
    <w:p>
      <w:pPr>
        <w:pStyle w:val="ListParagraph"/>
        <w:numPr>
          <w:ilvl w:val="0"/>
          <w:numId w:val="2"/>
        </w:numPr>
      </w:pPr>
      <w:r>
        <w:rPr>
          <w:rFonts w:ascii="Arial" w:cs="Arial" w:eastAsia="Arial" w:hAnsi="Arial"/>
          <w:color w:val="404040"/>
          <w:sz w:val="22"/>
          <w:szCs w:val="22"/>
        </w:rPr>
        <w:t xml:space="preserve">Réaliser des évaluations des impacts sur la vie privée</w:t>
      </w:r>
    </w:p>
    <w:p>
      <w:pPr>
        <w:spacing w:before="200"/>
      </w:pPr>
    </w:p>
    <w:p>
      <w:pPr>
        <w:pStyle w:val="Heading2"/>
      </w:pPr>
      <w:r>
        <w:t xml:space="preserve">Principe 5: Redevabilité</w:t>
      </w:r>
    </w:p>
    <w:p>
      <w:r>
        <w:rPr>
          <w:rFonts w:ascii="Arial" w:cs="Arial" w:eastAsia="Arial" w:hAnsi="Arial"/>
          <w:color w:val="404040"/>
          <w:sz w:val="22"/>
          <w:szCs w:val="22"/>
        </w:rPr>
        <w:t xml:space="preserve">Nous nous engageons à assumer la responsabilité entière de nos systèmes d'IA.</w:t>
      </w:r>
    </w:p>
    <w:p>
      <w:pPr>
        <w:pStyle w:val="Heading3"/>
      </w:pPr>
      <w:r>
        <w:t xml:space="preserve">Engagement organisationnel:</w:t>
      </w:r>
    </w:p>
    <w:p>
      <w:pPr>
        <w:pStyle w:val="ListParagraph"/>
        <w:numPr>
          <w:ilvl w:val="0"/>
          <w:numId w:val="2"/>
        </w:numPr>
      </w:pPr>
      <w:r>
        <w:rPr>
          <w:rFonts w:ascii="Arial" w:cs="Arial" w:eastAsia="Arial" w:hAnsi="Arial"/>
          <w:color w:val="404040"/>
          <w:sz w:val="22"/>
          <w:szCs w:val="22"/>
        </w:rPr>
        <w:t xml:space="preserve">Désigner un propriétaire responsable pour chaque système</w:t>
      </w:r>
    </w:p>
    <w:p>
      <w:pPr>
        <w:pStyle w:val="ListParagraph"/>
        <w:numPr>
          <w:ilvl w:val="0"/>
          <w:numId w:val="2"/>
        </w:numPr>
      </w:pPr>
      <w:r>
        <w:rPr>
          <w:rFonts w:ascii="Arial" w:cs="Arial" w:eastAsia="Arial" w:hAnsi="Arial"/>
          <w:color w:val="404040"/>
          <w:sz w:val="22"/>
          <w:szCs w:val="22"/>
        </w:rPr>
        <w:t xml:space="preserve">Maintenir un registre complet des systèmes d'IA</w:t>
      </w:r>
    </w:p>
    <w:p>
      <w:pPr>
        <w:pStyle w:val="ListParagraph"/>
        <w:numPr>
          <w:ilvl w:val="0"/>
          <w:numId w:val="2"/>
        </w:numPr>
      </w:pPr>
      <w:r>
        <w:rPr>
          <w:rFonts w:ascii="Arial" w:cs="Arial" w:eastAsia="Arial" w:hAnsi="Arial"/>
          <w:color w:val="404040"/>
          <w:sz w:val="22"/>
          <w:szCs w:val="22"/>
        </w:rPr>
        <w:t xml:space="preserve">Établir des processus de réclamation et remédiation</w:t>
      </w:r>
    </w:p>
    <w:p>
      <w:pPr>
        <w:pStyle w:val="ListParagraph"/>
        <w:numPr>
          <w:ilvl w:val="0"/>
          <w:numId w:val="2"/>
        </w:numPr>
      </w:pPr>
      <w:r>
        <w:rPr>
          <w:rFonts w:ascii="Arial" w:cs="Arial" w:eastAsia="Arial" w:hAnsi="Arial"/>
          <w:color w:val="404040"/>
          <w:sz w:val="22"/>
          <w:szCs w:val="22"/>
        </w:rPr>
        <w:t xml:space="preserve">Publier des rapports périodiques sur les incidents</w:t>
      </w:r>
    </w:p>
    <w:p>
      <w:pPr>
        <w:pStyle w:val="ListParagraph"/>
        <w:numPr>
          <w:ilvl w:val="0"/>
          <w:numId w:val="2"/>
        </w:numPr>
      </w:pPr>
      <w:r>
        <w:rPr>
          <w:rFonts w:ascii="Arial" w:cs="Arial" w:eastAsia="Arial" w:hAnsi="Arial"/>
          <w:color w:val="404040"/>
          <w:sz w:val="22"/>
          <w:szCs w:val="22"/>
        </w:rPr>
        <w:t xml:space="preserve">Soumettre les systèmes critiques à des audits externes</w:t>
      </w:r>
    </w:p>
    <w:p>
      <w:pPr>
        <w:spacing w:before="200"/>
      </w:pPr>
    </w:p>
    <w:p>
      <w:pPr>
        <w:pStyle w:val="Heading1"/>
      </w:pPr>
      <w:r>
        <w:t xml:space="preserve">Valeurs organisationnelles associées</w:t>
      </w:r>
    </w:p>
    <w:p>
      <w:pPr>
        <w:pStyle w:val="Heading2"/>
      </w:pPr>
      <w:r>
        <w:t xml:space="preserve">Transparence</w:t>
      </w:r>
    </w:p>
    <w:p>
      <w:r>
        <w:rPr>
          <w:rFonts w:ascii="Arial" w:cs="Arial" w:eastAsia="Arial" w:hAnsi="Arial"/>
          <w:color w:val="404040"/>
          <w:sz w:val="22"/>
          <w:szCs w:val="22"/>
        </w:rPr>
        <w:t xml:space="preserve">La transparence envers les parties prenantes renforce la confiance et facilite la conformité.</w:t>
      </w:r>
    </w:p>
    <w:p>
      <w:pPr>
        <w:pStyle w:val="Heading2"/>
      </w:pPr>
      <w:r>
        <w:t xml:space="preserve">Responsabilité sociale</w:t>
      </w:r>
    </w:p>
    <w:p>
      <w:r>
        <w:rPr>
          <w:rFonts w:ascii="Arial" w:cs="Arial" w:eastAsia="Arial" w:hAnsi="Arial"/>
          <w:color w:val="404040"/>
          <w:sz w:val="22"/>
          <w:szCs w:val="22"/>
        </w:rPr>
        <w:t xml:space="preserve">L'organisation reconnaît son impact social et environnemental.</w:t>
      </w:r>
    </w:p>
    <w:p>
      <w:pPr>
        <w:pStyle w:val="Heading2"/>
      </w:pPr>
      <w:r>
        <w:t xml:space="preserve">Innovation responsable</w:t>
      </w:r>
    </w:p>
    <w:p>
      <w:r>
        <w:rPr>
          <w:rFonts w:ascii="Arial" w:cs="Arial" w:eastAsia="Arial" w:hAnsi="Arial"/>
          <w:color w:val="404040"/>
          <w:sz w:val="22"/>
          <w:szCs w:val="22"/>
        </w:rPr>
        <w:t xml:space="preserve">Nous encourageons l'innovation en IA tout en maintenant des standards éthiques élevés.</w:t>
      </w:r>
    </w:p>
    <w:p>
      <w:pPr>
        <w:pStyle w:val="Heading2"/>
      </w:pPr>
      <w:r>
        <w:t xml:space="preserve">Collaboration et dialogue</w:t>
      </w:r>
    </w:p>
    <w:p>
      <w:r>
        <w:rPr>
          <w:rFonts w:ascii="Arial" w:cs="Arial" w:eastAsia="Arial" w:hAnsi="Arial"/>
          <w:color w:val="404040"/>
          <w:sz w:val="22"/>
          <w:szCs w:val="22"/>
        </w:rPr>
        <w:t xml:space="preserve">Nous encourageons le dialogue ouvert avec les parties prenantes et les experts.</w:t>
      </w:r>
    </w:p>
    <w:p>
      <w:pPr>
        <w:spacing w:before="200"/>
      </w:pPr>
    </w:p>
    <w:p>
      <w:pPr>
        <w:pStyle w:val="Heading1"/>
      </w:pPr>
      <w:r>
        <w:t xml:space="preserve">Gouvernance et mise en œuvre</w:t>
      </w:r>
    </w:p>
    <w:p>
      <w:pPr>
        <w:pStyle w:val="Heading2"/>
      </w:pPr>
      <w:r>
        <w:t xml:space="preserve">Structures de gouvernance</w:t>
      </w:r>
    </w:p>
    <w:p>
      <w:pPr>
        <w:pStyle w:val="ListParagraph"/>
        <w:numPr>
          <w:ilvl w:val="0"/>
          <w:numId w:val="2"/>
        </w:numPr>
      </w:pPr>
      <w:r>
        <w:rPr>
          <w:rFonts w:ascii="Arial" w:cs="Arial" w:eastAsia="Arial" w:hAnsi="Arial"/>
          <w:color w:val="404040"/>
          <w:sz w:val="22"/>
          <w:szCs w:val="22"/>
        </w:rPr>
        <w:t xml:space="preserve">Comité de gouvernance IA: approuve les initiatives IA</w:t>
      </w:r>
    </w:p>
    <w:p>
      <w:pPr>
        <w:pStyle w:val="ListParagraph"/>
        <w:numPr>
          <w:ilvl w:val="0"/>
          <w:numId w:val="2"/>
        </w:numPr>
      </w:pPr>
      <w:r>
        <w:rPr>
          <w:rFonts w:ascii="Arial" w:cs="Arial" w:eastAsia="Arial" w:hAnsi="Arial"/>
          <w:color w:val="404040"/>
          <w:sz w:val="22"/>
          <w:szCs w:val="22"/>
        </w:rPr>
        <w:t xml:space="preserve">Comité d'éthique IA: évalue les dilemmes éthiques</w:t>
      </w:r>
    </w:p>
    <w:p>
      <w:pPr>
        <w:pStyle w:val="ListParagraph"/>
        <w:numPr>
          <w:ilvl w:val="0"/>
          <w:numId w:val="2"/>
        </w:numPr>
      </w:pPr>
      <w:r>
        <w:rPr>
          <w:rFonts w:ascii="Arial" w:cs="Arial" w:eastAsia="Arial" w:hAnsi="Arial"/>
          <w:color w:val="404040"/>
          <w:sz w:val="22"/>
          <w:szCs w:val="22"/>
        </w:rPr>
        <w:t xml:space="preserve">Chief AI Officer: coordonne la mise en œuvre</w:t>
      </w:r>
    </w:p>
    <w:p>
      <w:pPr>
        <w:pStyle w:val="ListParagraph"/>
        <w:numPr>
          <w:ilvl w:val="0"/>
          <w:numId w:val="2"/>
        </w:numPr>
      </w:pPr>
      <w:r>
        <w:rPr>
          <w:rFonts w:ascii="Arial" w:cs="Arial" w:eastAsia="Arial" w:hAnsi="Arial"/>
          <w:color w:val="404040"/>
          <w:sz w:val="22"/>
          <w:szCs w:val="22"/>
        </w:rPr>
        <w:t xml:space="preserve">Data Protection Officer: supervise la protection des données</w:t>
      </w:r>
    </w:p>
    <w:p>
      <w:pPr>
        <w:spacing w:before="200"/>
      </w:pPr>
    </w:p>
    <w:p>
      <w:pPr>
        <w:pStyle w:val="Heading2"/>
      </w:pPr>
      <w:r>
        <w:t xml:space="preserve">Évaluation et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Principe</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Métriques d'évaluation</w:t>
            </w:r>
          </w:p>
        </w:tc>
        <w:tc>
          <w:tcPr>
            <w:tcW w:type="dxa" w:w="3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Accessibilité de l'explication</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Équité</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Métriques d'équité par groupe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Sécurité</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Tests de robustesse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Mensuel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Vie privée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à Loi 25</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Redevabilité</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Registre à jour</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w:t>
            </w:r>
          </w:p>
        </w:tc>
      </w:tr>
    </w:tbl>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NIST AI Risk Management Framework</w:t>
      </w:r>
    </w:p>
    <w:p>
      <w:pPr>
        <w:pStyle w:val="ListParagraph"/>
        <w:numPr>
          <w:ilvl w:val="0"/>
          <w:numId w:val="2"/>
        </w:numPr>
      </w:pPr>
      <w:r>
        <w:rPr>
          <w:rFonts w:ascii="Arial" w:cs="Arial" w:eastAsia="Arial" w:hAnsi="Arial"/>
          <w:color w:val="404040"/>
          <w:sz w:val="22"/>
          <w:szCs w:val="22"/>
        </w:rPr>
        <w:t xml:space="preserve">EU AI Act</w:t>
      </w:r>
    </w:p>
    <w:p>
      <w:pPr>
        <w:pStyle w:val="ListParagraph"/>
        <w:numPr>
          <w:ilvl w:val="0"/>
          <w:numId w:val="2"/>
        </w:numPr>
      </w:pPr>
      <w:r>
        <w:rPr>
          <w:rFonts w:ascii="Arial" w:cs="Arial" w:eastAsia="Arial" w:hAnsi="Arial"/>
          <w:color w:val="404040"/>
          <w:sz w:val="22"/>
          <w:szCs w:val="22"/>
        </w:rPr>
        <w:t xml:space="preserve">Plan d'action du Québec en intelligence artificielle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Sensibilisation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tous les employés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Intégration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Intégrer dans les processus de développement</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[DATE_INTEGRATION]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Évaluation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la conformité de tous les systèmes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[DATE_EVALUATION]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Amélioration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Raffiner les principes et les pratiques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[DATE_CONTINU]</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responsable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Approche de développement qui respecte les principes éthiques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Principes directeurs de l'intelligence artificielle responsable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2026-03-05T02:18:31.509Z</dcterms:created>
  <dcterms:modified xsi:type="dcterms:W3CDTF">2026-03-05T02:18:31.509Z</dcterms:modified>
</cp:coreProperties>
</file>

<file path=docProps/custom.xml><?xml version="1.0" encoding="utf-8"?>
<Properties xmlns="http://schemas.openxmlformats.org/officeDocument/2006/custom-properties" xmlns:vt="http://schemas.openxmlformats.org/officeDocument/2006/docPropsVTypes"/>
</file>