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Charte d'utilisation de l'IA</w:t>
      </w:r>
    </w:p>
    <w:p>
      <w:pPr>
        <w:spacing w:after="600"/>
        <w:jc w:val="center"/>
      </w:pPr>
      <w:r>
        <w:rPr>
          <w:rFonts w:ascii="Arial" w:cs="Arial" w:eastAsia="Arial" w:hAnsi="Arial"/>
          <w:color w:val="2E75B6"/>
          <w:sz w:val="24"/>
          <w:szCs w:val="24"/>
        </w:rPr>
        <w:t xml:space="preserve">Règles générales d'utilisation et responsabilités</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Règles générales d'utilisation</w:t>
      </w:r>
    </w:p>
    <w:p>
      <w:r>
        <w:rPr>
          <w:rFonts w:ascii="Arial" w:cs="Arial" w:eastAsia="Arial" w:hAnsi="Arial"/>
          <w:color w:val="404040"/>
          <w:sz w:val="22"/>
          <w:szCs w:val="22"/>
        </w:rPr>
        <w:t xml:space="preserve">La présente charte établit les règles fondamentales régissant l'utilisation de l'intelligence artificielle au sein de [NOM_ORGANISATION]. Elle s'applique à l'ensemble des employés, contractants et partenaires utilisant des systèmes ou outils IA.</w:t>
      </w:r>
    </w:p>
    <w:p>
      <w:pPr>
        <w:pStyle w:val="Heading2"/>
      </w:pPr>
      <w:r>
        <w:t xml:space="preserve">Principes directeurs</w:t>
      </w:r>
    </w:p>
    <w:p>
      <w:pPr>
        <w:pStyle w:val="ListParagraph"/>
        <w:numPr>
          <w:ilvl w:val="0"/>
          <w:numId w:val="2"/>
        </w:numPr>
      </w:pPr>
      <w:r>
        <w:rPr>
          <w:rFonts w:ascii="Arial" w:cs="Arial" w:eastAsia="Arial" w:hAnsi="Arial"/>
          <w:color w:val="404040"/>
          <w:sz w:val="22"/>
          <w:szCs w:val="22"/>
        </w:rPr>
        <w:t xml:space="preserve">Conformité: Tout usage d'IA doit respecter la Loi 25, le C-27/LIAD et la Charte des droits du Québec</w:t>
      </w:r>
    </w:p>
    <w:p>
      <w:pPr>
        <w:pStyle w:val="ListParagraph"/>
        <w:numPr>
          <w:ilvl w:val="0"/>
          <w:numId w:val="2"/>
        </w:numPr>
      </w:pPr>
      <w:r>
        <w:rPr>
          <w:rFonts w:ascii="Arial" w:cs="Arial" w:eastAsia="Arial" w:hAnsi="Arial"/>
          <w:color w:val="404040"/>
          <w:sz w:val="22"/>
          <w:szCs w:val="22"/>
        </w:rPr>
        <w:t xml:space="preserve">Transparence: Les utilisateurs doivent déclarer leur usage d'IA et documenter les données utilisées</w:t>
      </w:r>
    </w:p>
    <w:p>
      <w:pPr>
        <w:pStyle w:val="ListParagraph"/>
        <w:numPr>
          <w:ilvl w:val="0"/>
          <w:numId w:val="2"/>
        </w:numPr>
      </w:pPr>
      <w:r>
        <w:rPr>
          <w:rFonts w:ascii="Arial" w:cs="Arial" w:eastAsia="Arial" w:hAnsi="Arial"/>
          <w:color w:val="404040"/>
          <w:sz w:val="22"/>
          <w:szCs w:val="22"/>
        </w:rPr>
        <w:t xml:space="preserve">Responsabilité: Chaque utilisateur est responsable des résultats et du respect des politiques</w:t>
      </w:r>
    </w:p>
    <w:p>
      <w:pPr>
        <w:pStyle w:val="ListParagraph"/>
        <w:numPr>
          <w:ilvl w:val="0"/>
          <w:numId w:val="2"/>
        </w:numPr>
      </w:pPr>
      <w:r>
        <w:rPr>
          <w:rFonts w:ascii="Arial" w:cs="Arial" w:eastAsia="Arial" w:hAnsi="Arial"/>
          <w:color w:val="404040"/>
          <w:sz w:val="22"/>
          <w:szCs w:val="22"/>
        </w:rPr>
        <w:t xml:space="preserve">Sécurité: Les données sensibles ne doivent jamais être transmises à des outils IA non autorisés</w:t>
      </w:r>
    </w:p>
    <w:p>
      <w:pPr>
        <w:pStyle w:val="ListParagraph"/>
        <w:numPr>
          <w:ilvl w:val="0"/>
          <w:numId w:val="2"/>
        </w:numPr>
      </w:pPr>
      <w:r>
        <w:rPr>
          <w:rFonts w:ascii="Arial" w:cs="Arial" w:eastAsia="Arial" w:hAnsi="Arial"/>
          <w:color w:val="404040"/>
          <w:sz w:val="22"/>
          <w:szCs w:val="22"/>
        </w:rPr>
        <w:t xml:space="preserve">Éthique: L'IA ne doit pas être utilisée pour discriminer, manipuler ou nuire</w:t>
      </w:r>
    </w:p>
    <w:p>
      <w:pPr>
        <w:pStyle w:val="ListParagraph"/>
        <w:numPr>
          <w:ilvl w:val="0"/>
          <w:numId w:val="2"/>
        </w:numPr>
      </w:pPr>
      <w:r>
        <w:rPr>
          <w:rFonts w:ascii="Arial" w:cs="Arial" w:eastAsia="Arial" w:hAnsi="Arial"/>
          <w:color w:val="404040"/>
          <w:sz w:val="22"/>
          <w:szCs w:val="22"/>
        </w:rPr>
        <w:t xml:space="preserve">Audit: Tous les usages sont sujets à audit et vérification de conformité</w:t>
      </w:r>
    </w:p>
    <w:p>
      <w:pPr>
        <w:pStyle w:val="Heading2"/>
      </w:pPr>
      <w:r>
        <w:t xml:space="preserve">Usages permis</w:t>
      </w:r>
    </w:p>
    <w:p>
      <w:pPr>
        <w:pStyle w:val="ListParagraph"/>
        <w:numPr>
          <w:ilvl w:val="0"/>
          <w:numId w:val="2"/>
        </w:numPr>
      </w:pPr>
      <w:r>
        <w:rPr>
          <w:rFonts w:ascii="Arial" w:cs="Arial" w:eastAsia="Arial" w:hAnsi="Arial"/>
          <w:color w:val="404040"/>
          <w:sz w:val="22"/>
          <w:szCs w:val="22"/>
        </w:rPr>
        <w:t xml:space="preserve">Analyse et synthèse de documents internes</w:t>
      </w:r>
    </w:p>
    <w:p>
      <w:pPr>
        <w:pStyle w:val="ListParagraph"/>
        <w:numPr>
          <w:ilvl w:val="0"/>
          <w:numId w:val="2"/>
        </w:numPr>
      </w:pPr>
      <w:r>
        <w:rPr>
          <w:rFonts w:ascii="Arial" w:cs="Arial" w:eastAsia="Arial" w:hAnsi="Arial"/>
          <w:color w:val="404040"/>
          <w:sz w:val="22"/>
          <w:szCs w:val="22"/>
        </w:rPr>
        <w:t xml:space="preserve">Rédaction et correction de textes (avec vérification)</w:t>
      </w:r>
    </w:p>
    <w:p>
      <w:pPr>
        <w:pStyle w:val="ListParagraph"/>
        <w:numPr>
          <w:ilvl w:val="0"/>
          <w:numId w:val="2"/>
        </w:numPr>
      </w:pPr>
      <w:r>
        <w:rPr>
          <w:rFonts w:ascii="Arial" w:cs="Arial" w:eastAsia="Arial" w:hAnsi="Arial"/>
          <w:color w:val="404040"/>
          <w:sz w:val="22"/>
          <w:szCs w:val="22"/>
        </w:rPr>
        <w:t xml:space="preserve">Recherche et compilation d'informations publiques</w:t>
      </w:r>
    </w:p>
    <w:p>
      <w:pPr>
        <w:pStyle w:val="ListParagraph"/>
        <w:numPr>
          <w:ilvl w:val="0"/>
          <w:numId w:val="2"/>
        </w:numPr>
      </w:pPr>
      <w:r>
        <w:rPr>
          <w:rFonts w:ascii="Arial" w:cs="Arial" w:eastAsia="Arial" w:hAnsi="Arial"/>
          <w:color w:val="404040"/>
          <w:sz w:val="22"/>
          <w:szCs w:val="22"/>
        </w:rPr>
        <w:t xml:space="preserve">Brainstorming et génération d'idées</w:t>
      </w:r>
    </w:p>
    <w:p>
      <w:pPr>
        <w:pStyle w:val="ListParagraph"/>
        <w:numPr>
          <w:ilvl w:val="0"/>
          <w:numId w:val="2"/>
        </w:numPr>
      </w:pPr>
      <w:r>
        <w:rPr>
          <w:rFonts w:ascii="Arial" w:cs="Arial" w:eastAsia="Arial" w:hAnsi="Arial"/>
          <w:color w:val="404040"/>
          <w:sz w:val="22"/>
          <w:szCs w:val="22"/>
        </w:rPr>
        <w:t xml:space="preserve">Traduction de documents</w:t>
      </w:r>
    </w:p>
    <w:p>
      <w:pPr>
        <w:pStyle w:val="ListParagraph"/>
        <w:numPr>
          <w:ilvl w:val="0"/>
          <w:numId w:val="2"/>
        </w:numPr>
      </w:pPr>
      <w:r>
        <w:rPr>
          <w:rFonts w:ascii="Arial" w:cs="Arial" w:eastAsia="Arial" w:hAnsi="Arial"/>
          <w:color w:val="404040"/>
          <w:sz w:val="22"/>
          <w:szCs w:val="22"/>
        </w:rPr>
        <w:t xml:space="preserve">Optimisation de codes existants</w:t>
      </w:r>
    </w:p>
    <w:p>
      <w:pPr>
        <w:pStyle w:val="ListParagraph"/>
        <w:numPr>
          <w:ilvl w:val="0"/>
          <w:numId w:val="2"/>
        </w:numPr>
      </w:pPr>
      <w:r>
        <w:rPr>
          <w:rFonts w:ascii="Arial" w:cs="Arial" w:eastAsia="Arial" w:hAnsi="Arial"/>
          <w:color w:val="404040"/>
          <w:sz w:val="22"/>
          <w:szCs w:val="22"/>
        </w:rPr>
        <w:t xml:space="preserve">Création de contenu marketing et communications</w:t>
      </w:r>
    </w:p>
    <w:p>
      <w:pPr>
        <w:pStyle w:val="ListParagraph"/>
        <w:numPr>
          <w:ilvl w:val="0"/>
          <w:numId w:val="2"/>
        </w:numPr>
      </w:pPr>
      <w:r>
        <w:rPr>
          <w:rFonts w:ascii="Arial" w:cs="Arial" w:eastAsia="Arial" w:hAnsi="Arial"/>
          <w:color w:val="404040"/>
          <w:sz w:val="22"/>
          <w:szCs w:val="22"/>
        </w:rPr>
        <w:t xml:space="preserve">Support client et réponses automatisées</w:t>
      </w:r>
    </w:p>
    <w:p>
      <w:pPr>
        <w:pStyle w:val="Heading2"/>
      </w:pPr>
      <w:r>
        <w:t xml:space="preserve">Usages interdits</w:t>
      </w:r>
    </w:p>
    <w:p>
      <w:pPr>
        <w:pStyle w:val="ListParagraph"/>
        <w:numPr>
          <w:ilvl w:val="0"/>
          <w:numId w:val="2"/>
        </w:numPr>
      </w:pPr>
      <w:r>
        <w:rPr>
          <w:rFonts w:ascii="Arial" w:cs="Arial" w:eastAsia="Arial" w:hAnsi="Arial"/>
          <w:color w:val="404040"/>
          <w:sz w:val="22"/>
          <w:szCs w:val="22"/>
        </w:rPr>
        <w:t xml:space="preserve">Partager des données personnelles ou confidentielles sans approbation</w:t>
      </w:r>
    </w:p>
    <w:p>
      <w:pPr>
        <w:pStyle w:val="ListParagraph"/>
        <w:numPr>
          <w:ilvl w:val="0"/>
          <w:numId w:val="2"/>
        </w:numPr>
      </w:pPr>
      <w:r>
        <w:rPr>
          <w:rFonts w:ascii="Arial" w:cs="Arial" w:eastAsia="Arial" w:hAnsi="Arial"/>
          <w:color w:val="404040"/>
          <w:sz w:val="22"/>
          <w:szCs w:val="22"/>
        </w:rPr>
        <w:t xml:space="preserve">Utiliser des outils IA non autorisés par l'organisation</w:t>
      </w:r>
    </w:p>
    <w:p>
      <w:pPr>
        <w:pStyle w:val="ListParagraph"/>
        <w:numPr>
          <w:ilvl w:val="0"/>
          <w:numId w:val="2"/>
        </w:numPr>
      </w:pPr>
      <w:r>
        <w:rPr>
          <w:rFonts w:ascii="Arial" w:cs="Arial" w:eastAsia="Arial" w:hAnsi="Arial"/>
          <w:color w:val="404040"/>
          <w:sz w:val="22"/>
          <w:szCs w:val="22"/>
        </w:rPr>
        <w:t xml:space="preserve">Générer du contenu discriminatoire, harcelant ou offensant</w:t>
      </w:r>
    </w:p>
    <w:p>
      <w:pPr>
        <w:pStyle w:val="ListParagraph"/>
        <w:numPr>
          <w:ilvl w:val="0"/>
          <w:numId w:val="2"/>
        </w:numPr>
      </w:pPr>
      <w:r>
        <w:rPr>
          <w:rFonts w:ascii="Arial" w:cs="Arial" w:eastAsia="Arial" w:hAnsi="Arial"/>
          <w:color w:val="404040"/>
          <w:sz w:val="22"/>
          <w:szCs w:val="22"/>
        </w:rPr>
        <w:t xml:space="preserve">Créer des deepfakes ou contenus frauduleux</w:t>
      </w:r>
    </w:p>
    <w:p>
      <w:pPr>
        <w:pStyle w:val="ListParagraph"/>
        <w:numPr>
          <w:ilvl w:val="0"/>
          <w:numId w:val="2"/>
        </w:numPr>
      </w:pPr>
      <w:r>
        <w:rPr>
          <w:rFonts w:ascii="Arial" w:cs="Arial" w:eastAsia="Arial" w:hAnsi="Arial"/>
          <w:color w:val="404040"/>
          <w:sz w:val="22"/>
          <w:szCs w:val="22"/>
        </w:rPr>
        <w:t xml:space="preserve">Contourner les politiques de sécurité ou d'accès</w:t>
      </w:r>
    </w:p>
    <w:p>
      <w:pPr>
        <w:pStyle w:val="ListParagraph"/>
        <w:numPr>
          <w:ilvl w:val="0"/>
          <w:numId w:val="2"/>
        </w:numPr>
      </w:pPr>
      <w:r>
        <w:rPr>
          <w:rFonts w:ascii="Arial" w:cs="Arial" w:eastAsia="Arial" w:hAnsi="Arial"/>
          <w:color w:val="404040"/>
          <w:sz w:val="22"/>
          <w:szCs w:val="22"/>
        </w:rPr>
        <w:t xml:space="preserve">Utiliser l'IA pour prendre des décisions irréversibles sans supervision</w:t>
      </w:r>
    </w:p>
    <w:p>
      <w:pPr>
        <w:pStyle w:val="ListParagraph"/>
        <w:numPr>
          <w:ilvl w:val="0"/>
          <w:numId w:val="2"/>
        </w:numPr>
      </w:pPr>
      <w:r>
        <w:rPr>
          <w:rFonts w:ascii="Arial" w:cs="Arial" w:eastAsia="Arial" w:hAnsi="Arial"/>
          <w:color w:val="404040"/>
          <w:sz w:val="22"/>
          <w:szCs w:val="22"/>
        </w:rPr>
        <w:t xml:space="preserve">Partager des secrets commerciaux ou propriété intellectuelle</w:t>
      </w:r>
    </w:p>
    <w:p>
      <w:pPr>
        <w:pStyle w:val="ListParagraph"/>
        <w:numPr>
          <w:ilvl w:val="0"/>
          <w:numId w:val="2"/>
        </w:numPr>
      </w:pPr>
      <w:r>
        <w:rPr>
          <w:rFonts w:ascii="Arial" w:cs="Arial" w:eastAsia="Arial" w:hAnsi="Arial"/>
          <w:color w:val="404040"/>
          <w:sz w:val="22"/>
          <w:szCs w:val="22"/>
        </w:rPr>
        <w:t xml:space="preserve">Automatiser des licenciements ou décisions disciplinaires sans examen humain</w:t>
      </w:r>
    </w:p>
    <w:p>
      <w:pPr>
        <w:pStyle w:val="Heading2"/>
      </w:pPr>
      <w:r>
        <w:t xml:space="preserve">Données interdites</w:t>
      </w:r>
    </w:p>
    <w:p>
      <w:r>
        <w:rPr>
          <w:rFonts w:ascii="Arial" w:cs="Arial" w:eastAsia="Arial" w:hAnsi="Arial"/>
          <w:color w:val="404040"/>
          <w:sz w:val="22"/>
          <w:szCs w:val="22"/>
        </w:rPr>
        <w:t xml:space="preserve">Les catégories de données suivantes ne doivent JAMAIS être partagées avec des outils IA externes:</w:t>
      </w:r>
    </w:p>
    <w:p>
      <w:pPr>
        <w:pStyle w:val="ListParagraph"/>
        <w:numPr>
          <w:ilvl w:val="0"/>
          <w:numId w:val="2"/>
        </w:numPr>
      </w:pPr>
      <w:r>
        <w:rPr>
          <w:rFonts w:ascii="Arial" w:cs="Arial" w:eastAsia="Arial" w:hAnsi="Arial"/>
          <w:color w:val="404040"/>
          <w:sz w:val="22"/>
          <w:szCs w:val="22"/>
        </w:rPr>
        <w:t xml:space="preserve">Renseignements personnels: noms complets, adresses, numéros de téléphone, emails personnels</w:t>
      </w:r>
    </w:p>
    <w:p>
      <w:pPr>
        <w:pStyle w:val="ListParagraph"/>
        <w:numPr>
          <w:ilvl w:val="0"/>
          <w:numId w:val="2"/>
        </w:numPr>
      </w:pPr>
      <w:r>
        <w:rPr>
          <w:rFonts w:ascii="Arial" w:cs="Arial" w:eastAsia="Arial" w:hAnsi="Arial"/>
          <w:color w:val="404040"/>
          <w:sz w:val="22"/>
          <w:szCs w:val="22"/>
        </w:rPr>
        <w:t xml:space="preserve">Données médicales ou de santé mentale de clients ou employés</w:t>
      </w:r>
    </w:p>
    <w:p>
      <w:pPr>
        <w:pStyle w:val="ListParagraph"/>
        <w:numPr>
          <w:ilvl w:val="0"/>
          <w:numId w:val="2"/>
        </w:numPr>
      </w:pPr>
      <w:r>
        <w:rPr>
          <w:rFonts w:ascii="Arial" w:cs="Arial" w:eastAsia="Arial" w:hAnsi="Arial"/>
          <w:color w:val="404040"/>
          <w:sz w:val="22"/>
          <w:szCs w:val="22"/>
        </w:rPr>
        <w:t xml:space="preserve">Données financières sensibles: comptes bancaires, salaires, données fiscales</w:t>
      </w:r>
    </w:p>
    <w:p>
      <w:pPr>
        <w:pStyle w:val="ListParagraph"/>
        <w:numPr>
          <w:ilvl w:val="0"/>
          <w:numId w:val="2"/>
        </w:numPr>
      </w:pPr>
      <w:r>
        <w:rPr>
          <w:rFonts w:ascii="Arial" w:cs="Arial" w:eastAsia="Arial" w:hAnsi="Arial"/>
          <w:color w:val="404040"/>
          <w:sz w:val="22"/>
          <w:szCs w:val="22"/>
        </w:rPr>
        <w:t xml:space="preserve">Données d'identification: numéros de permis, numéros d'assurance sociale</w:t>
      </w:r>
    </w:p>
    <w:p>
      <w:pPr>
        <w:pStyle w:val="ListParagraph"/>
        <w:numPr>
          <w:ilvl w:val="0"/>
          <w:numId w:val="2"/>
        </w:numPr>
      </w:pPr>
      <w:r>
        <w:rPr>
          <w:rFonts w:ascii="Arial" w:cs="Arial" w:eastAsia="Arial" w:hAnsi="Arial"/>
          <w:color w:val="404040"/>
          <w:sz w:val="22"/>
          <w:szCs w:val="22"/>
        </w:rPr>
        <w:t xml:space="preserve">Données biométriques: empreintes, reconnaissance faciale</w:t>
      </w:r>
    </w:p>
    <w:p>
      <w:pPr>
        <w:pStyle w:val="ListParagraph"/>
        <w:numPr>
          <w:ilvl w:val="0"/>
          <w:numId w:val="2"/>
        </w:numPr>
      </w:pPr>
      <w:r>
        <w:rPr>
          <w:rFonts w:ascii="Arial" w:cs="Arial" w:eastAsia="Arial" w:hAnsi="Arial"/>
          <w:color w:val="404040"/>
          <w:sz w:val="22"/>
          <w:szCs w:val="22"/>
        </w:rPr>
        <w:t xml:space="preserve">Données d'accouchement ou reproductives</w:t>
      </w:r>
    </w:p>
    <w:p>
      <w:pPr>
        <w:pStyle w:val="ListParagraph"/>
        <w:numPr>
          <w:ilvl w:val="0"/>
          <w:numId w:val="2"/>
        </w:numPr>
      </w:pPr>
      <w:r>
        <w:rPr>
          <w:rFonts w:ascii="Arial" w:cs="Arial" w:eastAsia="Arial" w:hAnsi="Arial"/>
          <w:color w:val="404040"/>
          <w:sz w:val="22"/>
          <w:szCs w:val="22"/>
        </w:rPr>
        <w:t xml:space="preserve">Données judiciaires: casiers judiciaires, poursuites</w:t>
      </w:r>
    </w:p>
    <w:p>
      <w:pPr>
        <w:pStyle w:val="ListParagraph"/>
        <w:numPr>
          <w:ilvl w:val="0"/>
          <w:numId w:val="2"/>
        </w:numPr>
      </w:pPr>
      <w:r>
        <w:rPr>
          <w:rFonts w:ascii="Arial" w:cs="Arial" w:eastAsia="Arial" w:hAnsi="Arial"/>
          <w:color w:val="404040"/>
          <w:sz w:val="22"/>
          <w:szCs w:val="22"/>
        </w:rPr>
        <w:t xml:space="preserve">Données syndicales ou politiques</w:t>
      </w:r>
    </w:p>
    <w:p>
      <w:pPr>
        <w:pStyle w:val="ListParagraph"/>
        <w:numPr>
          <w:ilvl w:val="0"/>
          <w:numId w:val="2"/>
        </w:numPr>
      </w:pPr>
      <w:r>
        <w:rPr>
          <w:rFonts w:ascii="Arial" w:cs="Arial" w:eastAsia="Arial" w:hAnsi="Arial"/>
          <w:color w:val="404040"/>
          <w:sz w:val="22"/>
          <w:szCs w:val="22"/>
        </w:rPr>
        <w:t xml:space="preserve">Codes d'accès, mots de passe, clés de sécurité</w:t>
      </w:r>
    </w:p>
    <w:p>
      <w:pPr>
        <w:pStyle w:val="Heading1"/>
      </w:pPr>
      <w:r>
        <w:t xml:space="preserve">Responsabilités des employés</w:t>
      </w:r>
    </w:p>
    <w:p>
      <w:pPr>
        <w:pStyle w:val="Heading2"/>
      </w:pPr>
      <w:r>
        <w:t xml:space="preserve">Avant d'utiliser un outil IA</w:t>
      </w:r>
    </w:p>
    <w:p>
      <w:pPr>
        <w:pStyle w:val="ListParagraph"/>
        <w:numPr>
          <w:ilvl w:val="0"/>
          <w:numId w:val="3"/>
        </w:numPr>
      </w:pPr>
      <w:r>
        <w:rPr>
          <w:rFonts w:ascii="Arial" w:cs="Arial" w:eastAsia="Arial" w:hAnsi="Arial"/>
          <w:color w:val="404040"/>
          <w:sz w:val="22"/>
          <w:szCs w:val="22"/>
        </w:rPr>
        <w:t xml:space="preserve">Vérifier que l'outil est autorisé par l'organisation</w:t>
      </w:r>
    </w:p>
    <w:p>
      <w:pPr>
        <w:pStyle w:val="ListParagraph"/>
        <w:numPr>
          <w:ilvl w:val="0"/>
          <w:numId w:val="3"/>
        </w:numPr>
      </w:pPr>
      <w:r>
        <w:rPr>
          <w:rFonts w:ascii="Arial" w:cs="Arial" w:eastAsia="Arial" w:hAnsi="Arial"/>
          <w:color w:val="404040"/>
          <w:sz w:val="22"/>
          <w:szCs w:val="22"/>
        </w:rPr>
        <w:t xml:space="preserve">Évaluer si les données que vous comptez utiliser contiennent des informations sensibles</w:t>
      </w:r>
    </w:p>
    <w:p>
      <w:pPr>
        <w:pStyle w:val="ListParagraph"/>
        <w:numPr>
          <w:ilvl w:val="0"/>
          <w:numId w:val="3"/>
        </w:numPr>
      </w:pPr>
      <w:r>
        <w:rPr>
          <w:rFonts w:ascii="Arial" w:cs="Arial" w:eastAsia="Arial" w:hAnsi="Arial"/>
          <w:color w:val="404040"/>
          <w:sz w:val="22"/>
          <w:szCs w:val="22"/>
        </w:rPr>
        <w:t xml:space="preserve">Évaluer le contexte: s'agit-il d'une décision mineure ou critique</w:t>
      </w:r>
    </w:p>
    <w:p>
      <w:pPr>
        <w:pStyle w:val="ListParagraph"/>
        <w:numPr>
          <w:ilvl w:val="0"/>
          <w:numId w:val="3"/>
        </w:numPr>
      </w:pPr>
      <w:r>
        <w:rPr>
          <w:rFonts w:ascii="Arial" w:cs="Arial" w:eastAsia="Arial" w:hAnsi="Arial"/>
          <w:color w:val="404040"/>
          <w:sz w:val="22"/>
          <w:szCs w:val="22"/>
        </w:rPr>
        <w:t xml:space="preserve">Obtenir les approbations nécessaires pour les usages restreints</w:t>
      </w:r>
    </w:p>
    <w:p>
      <w:pPr>
        <w:pStyle w:val="Heading2"/>
      </w:pPr>
      <w:r>
        <w:t xml:space="preserve">Pendant l'utilisation</w:t>
      </w:r>
    </w:p>
    <w:p>
      <w:pPr>
        <w:pStyle w:val="ListParagraph"/>
        <w:numPr>
          <w:ilvl w:val="0"/>
          <w:numId w:val="3"/>
        </w:numPr>
      </w:pPr>
      <w:r>
        <w:rPr>
          <w:rFonts w:ascii="Arial" w:cs="Arial" w:eastAsia="Arial" w:hAnsi="Arial"/>
          <w:color w:val="404040"/>
          <w:sz w:val="22"/>
          <w:szCs w:val="22"/>
        </w:rPr>
        <w:t xml:space="preserve">Ne partagez que les données nécessaires et minimales</w:t>
      </w:r>
    </w:p>
    <w:p>
      <w:pPr>
        <w:pStyle w:val="ListParagraph"/>
        <w:numPr>
          <w:ilvl w:val="0"/>
          <w:numId w:val="3"/>
        </w:numPr>
      </w:pPr>
      <w:r>
        <w:rPr>
          <w:rFonts w:ascii="Arial" w:cs="Arial" w:eastAsia="Arial" w:hAnsi="Arial"/>
          <w:color w:val="404040"/>
          <w:sz w:val="22"/>
          <w:szCs w:val="22"/>
        </w:rPr>
        <w:t xml:space="preserve">Utilisez des données anonymisées ou dépersonnalisées quand possible</w:t>
      </w:r>
    </w:p>
    <w:p>
      <w:pPr>
        <w:pStyle w:val="ListParagraph"/>
        <w:numPr>
          <w:ilvl w:val="0"/>
          <w:numId w:val="3"/>
        </w:numPr>
      </w:pPr>
      <w:r>
        <w:rPr>
          <w:rFonts w:ascii="Arial" w:cs="Arial" w:eastAsia="Arial" w:hAnsi="Arial"/>
          <w:color w:val="404040"/>
          <w:sz w:val="22"/>
          <w:szCs w:val="22"/>
        </w:rPr>
        <w:t xml:space="preserve">Documentez votre utilisation (outil, date, type de tâche)</w:t>
      </w:r>
    </w:p>
    <w:p>
      <w:pPr>
        <w:pStyle w:val="ListParagraph"/>
        <w:numPr>
          <w:ilvl w:val="0"/>
          <w:numId w:val="3"/>
        </w:numPr>
      </w:pPr>
      <w:r>
        <w:rPr>
          <w:rFonts w:ascii="Arial" w:cs="Arial" w:eastAsia="Arial" w:hAnsi="Arial"/>
          <w:color w:val="404040"/>
          <w:sz w:val="22"/>
          <w:szCs w:val="22"/>
        </w:rPr>
        <w:t xml:space="preserve">Révisez le résultat avant de l'utiliser ou de le partager</w:t>
      </w:r>
    </w:p>
    <w:p>
      <w:pPr>
        <w:pStyle w:val="ListParagraph"/>
        <w:numPr>
          <w:ilvl w:val="0"/>
          <w:numId w:val="3"/>
        </w:numPr>
      </w:pPr>
      <w:r>
        <w:rPr>
          <w:rFonts w:ascii="Arial" w:cs="Arial" w:eastAsia="Arial" w:hAnsi="Arial"/>
          <w:color w:val="404040"/>
          <w:sz w:val="22"/>
          <w:szCs w:val="22"/>
        </w:rPr>
        <w:t xml:space="preserve">Vérifiez l'exactitude des informations factuelles</w:t>
      </w:r>
    </w:p>
    <w:p>
      <w:pPr>
        <w:pStyle w:val="ListParagraph"/>
        <w:numPr>
          <w:ilvl w:val="0"/>
          <w:numId w:val="3"/>
        </w:numPr>
      </w:pPr>
      <w:r>
        <w:rPr>
          <w:rFonts w:ascii="Arial" w:cs="Arial" w:eastAsia="Arial" w:hAnsi="Arial"/>
          <w:color w:val="404040"/>
          <w:sz w:val="22"/>
          <w:szCs w:val="22"/>
        </w:rPr>
        <w:t xml:space="preserve">Ne pas accepter les résultats d'IA sans jugement critique</w:t>
      </w:r>
    </w:p>
    <w:p>
      <w:pPr>
        <w:pStyle w:val="Heading2"/>
      </w:pPr>
      <w:r>
        <w:t xml:space="preserve">Après l'utilisation</w:t>
      </w:r>
    </w:p>
    <w:p>
      <w:pPr>
        <w:pStyle w:val="ListParagraph"/>
        <w:numPr>
          <w:ilvl w:val="0"/>
          <w:numId w:val="3"/>
        </w:numPr>
      </w:pPr>
      <w:r>
        <w:rPr>
          <w:rFonts w:ascii="Arial" w:cs="Arial" w:eastAsia="Arial" w:hAnsi="Arial"/>
          <w:color w:val="404040"/>
          <w:sz w:val="22"/>
          <w:szCs w:val="22"/>
        </w:rPr>
        <w:t xml:space="preserve">Supprimez ou anonymisez les conversations contenant des données sensibles</w:t>
      </w:r>
    </w:p>
    <w:p>
      <w:pPr>
        <w:pStyle w:val="ListParagraph"/>
        <w:numPr>
          <w:ilvl w:val="0"/>
          <w:numId w:val="3"/>
        </w:numPr>
      </w:pPr>
      <w:r>
        <w:rPr>
          <w:rFonts w:ascii="Arial" w:cs="Arial" w:eastAsia="Arial" w:hAnsi="Arial"/>
          <w:color w:val="404040"/>
          <w:sz w:val="22"/>
          <w:szCs w:val="22"/>
        </w:rPr>
        <w:t xml:space="preserve">Documentez comment le résultat a été utilisé et vérifié</w:t>
      </w:r>
    </w:p>
    <w:p>
      <w:pPr>
        <w:pStyle w:val="ListParagraph"/>
        <w:numPr>
          <w:ilvl w:val="0"/>
          <w:numId w:val="3"/>
        </w:numPr>
      </w:pPr>
      <w:r>
        <w:rPr>
          <w:rFonts w:ascii="Arial" w:cs="Arial" w:eastAsia="Arial" w:hAnsi="Arial"/>
          <w:color w:val="404040"/>
          <w:sz w:val="22"/>
          <w:szCs w:val="22"/>
        </w:rPr>
        <w:t xml:space="preserve">Signalez tout incident ou déviation aux règles de la présente charte</w:t>
      </w:r>
    </w:p>
    <w:p>
      <w:pPr>
        <w:pStyle w:val="ListParagraph"/>
        <w:numPr>
          <w:ilvl w:val="0"/>
          <w:numId w:val="3"/>
        </w:numPr>
      </w:pPr>
      <w:r>
        <w:rPr>
          <w:rFonts w:ascii="Arial" w:cs="Arial" w:eastAsia="Arial" w:hAnsi="Arial"/>
          <w:color w:val="404040"/>
          <w:sz w:val="22"/>
          <w:szCs w:val="22"/>
        </w:rPr>
        <w:t xml:space="preserve">Pour les usages restreints: documenter l'approbation et l'auditabilité</w:t>
      </w:r>
    </w:p>
    <w:p>
      <w:pPr>
        <w:pStyle w:val="Heading1"/>
      </w:pPr>
      <w:r>
        <w:t xml:space="preserve">Conséquences en cas de non-respect</w:t>
      </w:r>
    </w:p>
    <w:p>
      <w:pPr>
        <w:pStyle w:val="Heading2"/>
      </w:pPr>
      <w:r>
        <w:t xml:space="preserve">Processus disciplinaire</w:t>
      </w:r>
    </w:p>
    <w:p>
      <w:r>
        <w:rPr>
          <w:rFonts w:ascii="Arial" w:cs="Arial" w:eastAsia="Arial" w:hAnsi="Arial"/>
          <w:color w:val="404040"/>
          <w:sz w:val="22"/>
          <w:szCs w:val="22"/>
        </w:rPr>
        <w:t xml:space="preserve">Le non-respect de la présente charte peut entraîner les conséquences suivantes: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Sévérité</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Exemples</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Conséquences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Mineure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Utilisation légère d'IA sans risque réel, documentation incomplète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Avertissement verbal, formation supplémentaire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Modérée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Partage accidental de données peu sensibles, non-respect de procédure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Avertissement écrit, suspension d'accès temporaire, formation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Grave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Partage intentionnel de données confidentielles, contournement de sécurité</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Suspension ou licenciement, poursuites légales possibles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Criminelle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Fraude, création de deepfakes, dommage délibéré</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Congédiement immédiat, poursuites judiciaires</w:t>
            </w:r>
          </w:p>
        </w:tc>
      </w:tr>
    </w:tbl>
    <w:p>
      <w:pPr>
        <w:pStyle w:val="Heading2"/>
      </w:pPr>
      <w:r>
        <w:t xml:space="preserve">Droit à l'audience</w:t>
      </w:r>
    </w:p>
    <w:p>
      <w:r>
        <w:rPr>
          <w:rFonts w:ascii="Arial" w:cs="Arial" w:eastAsia="Arial" w:hAnsi="Arial"/>
          <w:color w:val="404040"/>
          <w:sz w:val="22"/>
          <w:szCs w:val="22"/>
        </w:rPr>
        <w:t xml:space="preserve">Tout employé accusant un non-respect a le droit de:</w:t>
      </w:r>
    </w:p>
    <w:p>
      <w:pPr>
        <w:pStyle w:val="ListParagraph"/>
        <w:numPr>
          <w:ilvl w:val="0"/>
          <w:numId w:val="2"/>
        </w:numPr>
      </w:pPr>
      <w:r>
        <w:rPr>
          <w:rFonts w:ascii="Arial" w:cs="Arial" w:eastAsia="Arial" w:hAnsi="Arial"/>
          <w:color w:val="404040"/>
          <w:sz w:val="22"/>
          <w:szCs w:val="22"/>
        </w:rPr>
        <w:t xml:space="preserve">Être informé par écrit des allégations</w:t>
      </w:r>
    </w:p>
    <w:p>
      <w:pPr>
        <w:pStyle w:val="ListParagraph"/>
        <w:numPr>
          <w:ilvl w:val="0"/>
          <w:numId w:val="2"/>
        </w:numPr>
      </w:pPr>
      <w:r>
        <w:rPr>
          <w:rFonts w:ascii="Arial" w:cs="Arial" w:eastAsia="Arial" w:hAnsi="Arial"/>
          <w:color w:val="404040"/>
          <w:sz w:val="22"/>
          <w:szCs w:val="22"/>
        </w:rPr>
        <w:t xml:space="preserve">Présenter sa version des faits</w:t>
      </w:r>
    </w:p>
    <w:p>
      <w:pPr>
        <w:pStyle w:val="ListParagraph"/>
        <w:numPr>
          <w:ilvl w:val="0"/>
          <w:numId w:val="2"/>
        </w:numPr>
      </w:pPr>
      <w:r>
        <w:rPr>
          <w:rFonts w:ascii="Arial" w:cs="Arial" w:eastAsia="Arial" w:hAnsi="Arial"/>
          <w:color w:val="404040"/>
          <w:sz w:val="22"/>
          <w:szCs w:val="22"/>
        </w:rPr>
        <w:t xml:space="preserve">Avoir accès à la documentation pertinente</w:t>
      </w:r>
    </w:p>
    <w:p>
      <w:pPr>
        <w:pStyle w:val="ListParagraph"/>
        <w:numPr>
          <w:ilvl w:val="0"/>
          <w:numId w:val="2"/>
        </w:numPr>
      </w:pPr>
      <w:r>
        <w:rPr>
          <w:rFonts w:ascii="Arial" w:cs="Arial" w:eastAsia="Arial" w:hAnsi="Arial"/>
          <w:color w:val="404040"/>
          <w:sz w:val="22"/>
          <w:szCs w:val="22"/>
        </w:rPr>
        <w:t xml:space="preserve">Être représenté par un représentant syndical ou légiste si applicable</w:t>
      </w:r>
    </w:p>
    <w:p>
      <w:pPr>
        <w:pStyle w:val="Heading1"/>
      </w:pPr>
      <w:r>
        <w:t xml:space="preserve">Exemples concrets</w:t>
      </w:r>
    </w:p>
    <w:p>
      <w:pPr>
        <w:pStyle w:val="Heading2"/>
      </w:pPr>
      <w:r>
        <w:t xml:space="preserve">Scénario 1: Autorisé - Rédaction avec ChatGPT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Cas autorisé</w:t>
            </w:r>
          </w:p>
          <w:p>
            <w:pPr>
              <w:spacing w:after="0"/>
            </w:pPr>
            <w:r>
              <w:rPr>
                <w:rFonts w:ascii="Arial" w:cs="Arial" w:eastAsia="Arial" w:hAnsi="Arial"/>
                <w:color w:val="404040"/>
                <w:sz w:val="20"/>
                <w:szCs w:val="20"/>
              </w:rPr>
              <w:t xml:space="preserve">[EMPLOYE_MARKETING] utilise ChatGPT pour rédiger un brouillon d'email commercial. Avant d'envoyer l'email, il le révise, corrige les erreurs factuelles et l'adapte au contexte. Résultat: usage autorisé car aucune donnée sensible n'a été partagée et le résultat a été vérifié.</w:t>
            </w:r>
          </w:p>
        </w:tc>
      </w:tr>
    </w:tbl>
    <w:p>
      <w:pPr>
        <w:pStyle w:val="Heading2"/>
      </w:pPr>
      <w:r>
        <w:t xml:space="preserve">Scénario 2: Interdit - Partage de données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Cas interdit</w:t>
            </w:r>
          </w:p>
          <w:p>
            <w:pPr>
              <w:spacing w:after="0"/>
            </w:pPr>
            <w:r>
              <w:rPr>
                <w:rFonts w:ascii="Arial" w:cs="Arial" w:eastAsia="Arial" w:hAnsi="Arial"/>
                <w:color w:val="404040"/>
                <w:sz w:val="20"/>
                <w:szCs w:val="20"/>
              </w:rPr>
              <w:t xml:space="preserve">[EMPLOYE_SERVICE_CLIENT] copie une liste de 500 noms de clients, adresses emails et historique d'achats dans ChatGPT pour "analyser les patterns". Résultat: grave violation car il a partagé des données personnelles sans approbation. Conséquences: avertissement écrit et suspension temporaire d'accès IA.</w:t>
            </w:r>
          </w:p>
        </w:tc>
      </w:tr>
    </w:tbl>
    <w:p>
      <w:pPr>
        <w:pStyle w:val="Heading2"/>
      </w:pPr>
      <w:r>
        <w:t xml:space="preserve">Scénario 3: Restreint - Analyse de données sensibles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Cas restreint avec approbation</w:t>
            </w:r>
          </w:p>
          <w:p>
            <w:pPr>
              <w:spacing w:after="0"/>
            </w:pPr>
            <w:r>
              <w:rPr>
                <w:rFonts w:ascii="Arial" w:cs="Arial" w:eastAsia="Arial" w:hAnsi="Arial"/>
                <w:color w:val="404040"/>
                <w:sz w:val="20"/>
                <w:szCs w:val="20"/>
              </w:rPr>
              <w:t xml:space="preserve">[EMPLOYE_RH] demande l'autorisation d'utiliser une IA autorisée et sécurisée (ex. Claude avec déploiement privé) pour analyser les patterns dans les évaluations de performance anonymisées. Après approbation du DPO, elle procède avec données anonymisées. Résultat: usage autorisé car approbation obtenue et données protégées.</w:t>
            </w:r>
          </w:p>
        </w:tc>
      </w:tr>
    </w:tbl>
    <w:p>
      <w:pPr>
        <w:pStyle w:val="Heading2"/>
      </w:pPr>
      <w:r>
        <w:t xml:space="preserve">Scénario 4: Interdit - Deepfake et fraude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Cas criminelle</w:t>
            </w:r>
          </w:p>
          <w:p>
            <w:pPr>
              <w:spacing w:after="0"/>
            </w:pPr>
            <w:r>
              <w:rPr>
                <w:rFonts w:ascii="Arial" w:cs="Arial" w:eastAsia="Arial" w:hAnsi="Arial"/>
                <w:color w:val="404040"/>
                <w:sz w:val="20"/>
                <w:szCs w:val="20"/>
              </w:rPr>
              <w:t xml:space="preserve">[EMPLOYE_MALHONNETE] utilise Midjourney pour générer une image frauduleuse d'un concurrent dans une situation compromettante et la partage dans un message privé en prétendant que c'est réel. Résultat: usage criminelle. Conséquences: congédiement immédiat et poursuites judiciaires.</w:t>
            </w:r>
          </w:p>
        </w:tc>
      </w:tr>
    </w:tbl>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Champion IA par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charte au sein de son département et signale les incidents</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Planification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Définir le périmètre, constituer l'équipe, établir le calendrier</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Développement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Rédiger le contenu détaillé, consulter les parties prenantes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Validation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Réviser, obtenir les approbations, tester auprès d'un groupe pilote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Déploiement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Communiquer, former, mettre en œuvre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Suivi</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Évaluer l'efficacité, ajuster, améliorer en continu</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semestrielle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Charte d'utilisation de 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2026-03-05T02:27:43.405Z</dcterms:created>
  <dcterms:modified xsi:type="dcterms:W3CDTF">2026-03-05T02:27:43.405Z</dcterms:modified>
</cp:coreProperties>
</file>

<file path=docProps/custom.xml><?xml version="1.0" encoding="utf-8"?>
<Properties xmlns="http://schemas.openxmlformats.org/officeDocument/2006/custom-properties" xmlns:vt="http://schemas.openxmlformats.org/officeDocument/2006/docPropsVTypes"/>
</file>