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0"/></w:pPr></w:p><w:p><w:pPr><w:spacing w:after="200"/><w:jc w:val="center"/></w:pPr><w:r><w:rPr><w:rFonts w:ascii="Arial" w:cs="Arial" w:eastAsia="Arial" w:hAnsi="Arial"/><w:color w:val="666666"/><w:sz w:val="28"/><w:szCs w:val="28"/></w:rPr><w:t xml:space="preserve">[NOM_ORGANISATION]</w:t></w:r></w:p><w:p><w:pPr><w:pBdr><w:bottom w:val="single" w:color="2E75B6" w:sz="8" w:space="8"/></w:pBdr><w:spacing w:after="100"/><w:jc w:val="center"/></w:pPr><w:r><w:rPr><w:sz w:val="8"/><w:szCs w:val="8"/></w:rPr><w:t xml:space="preserve"> </w:t></w:r></w:p><w:p><w:pPr><w:spacing w:after="200" w:before="400"/><w:jc w:val="center"/></w:pPr><w:r><w:rPr><w:rFonts w:ascii="Arial" w:cs="Arial" w:eastAsia="Arial" w:hAnsi="Arial"/><w:b/><w:bCs/><w:color w:val="1B3A5C"/><w:sz w:val="48"/><w:szCs w:val="48"/></w:rPr><w:t xml:space="preserve">Politique de sécurité de l&apos;information liée à l&apos;IA</w:t></w:r></w:p><w:p><w:pPr><w:spacing w:after="600"/><w:jc w:val="center"/></w:pPr><w:r><w:rPr><w:rFonts w:ascii="Arial" w:cs="Arial" w:eastAsia="Arial" w:hAnsi="Arial"/><w:color w:val="2E75B6"/><w:sz w:val="24"/><w:szCs w:val="24"/></w:rPr><w:t xml:space="preserve">Mesures de sécurité spécifiques aux systèmes d&apos;IA</w:t></w:r></w:p><w:p><w:pPr><w:pBdr><w:top w:val="single" w:color="2E75B6" w:sz="8" w:space="8"/></w:pBdr><w:spacing w:after="100"/><w:jc w:val="center"/></w:pPr><w:r><w:rPr><w:sz w:val="8"/><w:szCs w:val="8"/></w:rPr><w:t xml:space="preserve"> 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Version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[VERSION]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Date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[DATE_DOCUMENT]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Classification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Confidentiel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1B3A5C"/><w:sz w:val="20"/><w:szCs w:val="20"/></w:rPr><w:t xml:space="preserve">Responsable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20"/><w:szCs w:val="20"/></w:rPr><w:t xml:space="preserve">[RESPONSABLE_DOCUMENT]</w:t></w:r></w:p></w:tc></w:tr></w:tbl><w:p><w:r><w:br w:type="page"/></w:r></w:p><w:p><w:pPr><w:sectPr><w:pgSz w:w="12240" w:h="15840" w:orient="portrait"/><w:pgMar w:top="1440" w:right="1440" w:bottom="1440" w:left="1440" w:header="708" w:footer="708" w:gutter="0"/><w:pgNumType/><w:docGrid w:linePitch="360"/></w:sectPr></w:pPr></w:p><w:sdt><w:sdtPr><w:alias w:val="Table des matières"/></w:sdtPr><w:sdtContent><w:p><w:r><w:fldChar w:fldCharType="begin" w:dirty="true"/><w:instrText xml:space="preserve">TOC \h \o &quot;1-3&quot;</w:instrText><w:fldChar w:fldCharType="separate"/></w:r></w:p><w:p><w:r><w:fldChar w:fldCharType="end"/></w:r></w:p></w:sdtContent></w:sdt><w:p><w:r><w:br w:type="page"/></w:r></w:p><w:p><w:pPr><w:pStyle w:val="Heading1"/></w:pPr><w:r><w:t xml:space="preserve">Contrôle du document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Élément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Nom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Fonction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Réviseur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[FONCTION_RÉVISEUR]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[DATE_RÉVISION]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Approbateur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[FONCTION_APPROBATEUR]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[DATE_APPROBATION]</w:t></w:r></w:p></w:tc></w:tr></w:tbl><w:p><w:pPr><w:spacing w:before="200"/></w:pPr></w:p><w:p><w:pPr><w:pStyle w:val="Heading2"/></w:pPr><w:r><w:t xml:space="preserve">Historique des versions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Version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Date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Auteur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b/><w:bCs/><w:color w:val="FFFFFF"/><w:sz w:val="18"/><w:szCs w:val="18"/></w:rPr><w:t xml:space="preserve">Description des modifications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1.0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[DATE_CRÉATION]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[NOM_AUTEUR]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Création initiale du document</w:t></w:r></w:p></w:tc></w:tr><w:tr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w:tc><w:tcPr><w:tcW w:type="dxa" w:w="234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20"/><w:bottom w:type="dxa" w:w="60"/><w:right w:type="dxa" w:w="120"/></w:tcMar></w:tcPr><w:p><w:pPr><w:spacing w:after="0"/></w:pPr><w:r><w:rPr><w:rFonts w:ascii="Arial" w:cs="Arial" w:eastAsia="Arial" w:hAnsi="Arial"/><w:sz w:val="18"/><w:szCs w:val="18"/></w:rPr><w:t xml:space="preserve"></w:t></w:r></w:p></w:tc></w:tr></w:tbl><w:p><w:r><w:br w:type="page"/></w:r></w:p><w:p><w:pPr><w:pStyle w:val="Heading1"/></w:pPr><w:r><w:t xml:space="preserve">1. Objectif et portée</w:t></w:r></w:p><w:p><w:r><w:rPr><w:rFonts w:ascii="Arial" w:cs="Arial" w:eastAsia="Arial" w:hAnsi="Arial"/><w:color w:val="404040"/><w:sz w:val="22"/><w:szCs w:val="22"/></w:rPr><w:t xml:space="preserve">La présente politique définit les mesures de sécurité que doivent mettre en oeuvre [NOM_ORGANISATION] pour protéger ses systèmes d&apos;intelligence artificielle et les données qui les alimentent. Elle s&apos;applique à tous les environnements déployés (production, test, développement) et à tous les utilisateurs ayant accès à ces systèmes.</w:t></w:r></w:p><w:p><w:pPr><w:pStyle w:val="Heading2"/></w:pPr><w:r><w:t xml:space="preserve">1.1 Objectifs</w:t></w:r></w:p><0/><w:p><w:pPr><w:pStyle w:val="Heading2"/></w:pPr><w:r><w:t xml:space="preserve">1.2 Portée</w:t></w:r></w:p><w:p><w:r><w:rPr><w:rFonts w:ascii="Arial" w:cs="Arial" w:eastAsia="Arial" w:hAnsi="Arial"/><w:color w:val="404040"/><w:sz w:val="22"/><w:szCs w:val="22"/></w:rPr><w:t xml:space="preserve">Cette politique couvre tous les systèmes d&apos;IA, qu&apos;ils soient développés en interne ou acquis auprès de fournisseurs externes.</w:t></w:r></w:p><w:p><w:pPr><w:pStyle w:val="Heading1"/></w:pPr><w:r><w:t xml:space="preserve">2. Principes de sécurité fondamentaux</w:t></w:r></w:p><w:p><w:pPr><w:pStyle w:val="Heading2"/></w:pPr><w:r><w:t xml:space="preserve">2.1 Défense en profondeur</w:t></w:r></w:p><w:p><w:r><w:rPr><w:rFonts w:ascii="Arial" w:cs="Arial" w:eastAsia="Arial" w:hAnsi="Arial"/><w:color w:val="404040"/><w:sz w:val="22"/><w:szCs w:val="22"/></w:rPr><w:t xml:space="preserve">La sécurité des systèmes d&apos;IA repose sur plusieurs couches de contrôle et de détection, du niveau physique jusqu&apos;au niveau applicatif, garantissant qu&apos;aucun point de défaillance unique ne peut compromettre la sécurité globale.</w:t></w:r></w:p><w:p><w:pPr><w:pStyle w:val="Heading2"/></w:pPr><w:r><w:t xml:space="preserve">2.2 Moindre privilège</w:t></w:r></w:p><w:p><w:r><w:rPr><w:rFonts w:ascii="Arial" w:cs="Arial" w:eastAsia="Arial" w:hAnsi="Arial"/><w:color w:val="404040"/><w:sz w:val="22"/><w:szCs w:val="22"/></w:rPr><w:t xml:space="preserve">Chaque utilisateur, processus ou service ne doit avoir accès qu&apos;aux ressources minimales nécessaires pour accomplir ses fonctions assignées.</w:t></w:r></w:p><w:p><w:pPr><w:pStyle w:val="Heading2"/></w:pPr><w:r><w:t xml:space="preserve">2.3 Séparation des environnements</w:t></w:r></w:p><w:p><w:r><w:rPr><w:rFonts w:ascii="Arial" w:cs="Arial" w:eastAsia="Arial" w:hAnsi="Arial"/><w:color w:val="404040"/><w:sz w:val="22"/><w:szCs w:val="22"/></w:rPr><w:t xml:space="preserve">Les environnements de production, de test et de développement sont physiquement et logiquement séparés avec des contrôles d&apos;accès distincts.</w:t></w:r></w:p><w:p><w:pPr><w:pStyle w:val="Heading1"/></w:pPr><w:r><w:t xml:space="preserve">3. Contrôle d&apos;accès aux systèmes d&apos;IA</w:t></w:r></w:p><w:p><w:pPr><w:pStyle w:val="Heading2"/></w:pPr><w:r><w:t xml:space="preserve">3.1 Authentification</w:t></w:r></w:p><0/><w:p><w:pPr><w:pStyle w:val="Heading2"/></w:pPr><w:r><w:t xml:space="preserve">3.2 Autorisation et gestion des privilèges</w:t></w:r></w:p><0/><w:p><w:pPr><w:pStyle w:val="Heading2"/></w:pPr><w:r><w:t xml:space="preserve">3.3 Journalisation des accès</w:t></w:r></w:p><0/><w:p><w:pPr><w:pStyle w:val="Heading1"/></w:pPr><w:r><w:t xml:space="preserve">4. Chiffrement des données</w:t></w:r></w:p><w:p><w:pPr><w:pStyle w:val="Heading2"/></w:pPr><w:r><w:t xml:space="preserve">4.1 Chiffrement en transit</w:t></w:r></w:p><0/><w:p><w:pPr><w:pStyle w:val="Heading2"/></w:pPr><w:r><w:t xml:space="preserve">4.2 Chiffrement au repos</w:t></w:r></w:p><0/><w:p><w:pPr><w:pStyle w:val="Heading2"/></w:pPr><w:r><w:t xml:space="preserve">4.3 Gestion des clés de chiffrement</w:t></w:r></w:p><0/><w:p><w:pPr><w:pStyle w:val="Heading1"/></w:pPr><w:r><w:t xml:space="preserve">5. Segmentation réseau et firewalls</w:t></w:r></w:p><w:p><w:pPr><w:pStyle w:val="Heading2"/></w:pPr><w:r><w:t xml:space="preserve">5.1 Architecture réseau segmentée</w:t></w:r></w:p><0/><w:p><w:pPr><w:pStyle w:val="Heading2"/></w:pPr><w:r><w:t xml:space="preserve">5.2 Règles firewall</w:t></w:r></w:p><0/><w:p><w:pPr><w:pStyle w:val="Heading1"/></w:pPr><w:r><w:t xml:space="preserve">6. Protection des API d&apos;IA</w:t></w:r></w:p><w:p><w:pPr><w:pStyle w:val="Heading2"/></w:pPr><w:r><w:t xml:space="preserve">6.1 Sécurisation des API</w:t></w:r></w:p><0/><w:p><w:pPr><w:pStyle w:val="Heading2"/></w:pPr><w:r><w:t xml:space="preserve">6.2 Monitoring des API</w:t></w:r></w:p><0/><w:p><w:pPr><w:pStyle w:val="Heading1"/></w:pPr><w:r><w:t xml:space="preserve">7. Sécurité du pipeline ML et du cycle de vie des modèles</w:t></w:r></w:p><w:p><w:pPr><w:pStyle w:val="Heading2"/></w:pPr><w:r><w:t xml:space="preserve">7.1 Données d&apos;entraînement</w:t></w:r></w:p><0/><w:p><w:pPr><w:pStyle w:val="Heading2"/></w:pPr><w:r><w:t xml:space="preserve">7.2 Environnement d&apos;entraînement</w:t></w:r></w:p><0/><w:p><w:pPr><w:pStyle w:val="Heading2"/></w:pPr><w:r><w:t xml:space="preserve">7.3 Versioning et provenance des modèles</w:t></w:r></w:p><0/><w:p><w:pPr><w:pStyle w:val="Heading2"/></w:pPr><w:r><w:t xml:space="preserve">7.4 Testing de sécurité des modèles</w:t></w:r></w:p><0/><w:p><w:pPr><w:pStyle w:val="Heading1"/></w:pPr><w:r><w:t xml:space="preserve">8. Protection des modèles IA</w:t></w:r></w:p><w:p><w:pPr><w:pStyle w:val="Heading2"/></w:pPr><w:r><w:t xml:space="preserve">8.1 Propriété intellectuelle des modèles</w:t></w:r></w:p><0/><w:p><w:pPr><w:pStyle w:val="Heading2"/></w:pPr><w:r><w:t xml:space="preserve">8.2 Prévention du vol de modèles</w:t></w:r></w:p><0/><w:p><w:pPr><w:pStyle w:val="Heading2"/></w:pPr><w:r><w:t xml:space="preserve">8.3 Prévention de l&apos;inversion de modèles</w:t></w:r></w:p><0/><w:p><w:pPr><w:pStyle w:val="Heading1"/></w:pPr><w:r><w:t xml:space="preserve">9. Sécurité des données sensibles</w:t></w:r></w:p><w:p><w:pPr><w:pStyle w:val="Heading2"/></w:pPr><w:r><w:t xml:space="preserve">9.1 Identification des données sensibles</w:t></w:r></w:p><w:p><w:r><w:rPr><w:rFonts w:ascii="Arial" w:cs="Arial" w:eastAsia="Arial" w:hAnsi="Arial"/><w:color w:val="404040"/><w:sz w:val="22"/><w:szCs w:val="22"/></w:rPr><w:t xml:space="preserve">Les données sensibles incluent les renseignements personnels, les données financières, médicales, biométriques et tout contenu classé comme confidentiel.</w:t></w:r></w:p><w:p><w:pPr><w:pStyle w:val="Heading2"/></w:pPr><w:r><w:t xml:space="preserve">9.2 Masquage et anonymisation</w:t></w:r></w:p><0/><w:p><w:pPr><w:pStyle w:val="Heading2"/></w:pPr><w:r><w:t xml:space="preserve">9.3 Classification et labeling</w:t></w:r></w:p><0/><w:p><w:pPr><w:pStyle w:val="Heading1"/></w:pPr><w:r><w:t xml:space="preserve">10. Incident de sécurité et réponse</w:t></w:r></w:p><w:p><w:pPr><w:pStyle w:val="Heading2"/></w:pPr><w:r><w:t xml:space="preserve">10.1 Détection et notification</w:t></w:r></w:p><0/><w:p><w:pPr><w:pStyle w:val="Heading2"/></w:pPr><w:r><w:t xml:space="preserve">10.2 Réponse et investigation</w:t></w:r></w:p><0/><w:p><w:pPr><w:pStyle w:val="Heading2"/></w:pPr><w:r><w:t xml:space="preserve">10.3 Lessons learned et amélioration</w:t></w:r></w:p><0/><w:p><w:pPr><w:pStyle w:val="Heading1"/></w:pPr><w:r><w:t xml:space="preserve">11. Formation et sensibilisation</w:t></w:r></w:p><w:p><w:r><w:rPr><w:rFonts w:ascii="Arial" w:cs="Arial" w:eastAsia="Arial" w:hAnsi="Arial"/><w:color w:val="404040"/><w:sz w:val="22"/><w:szCs w:val="22"/></w:rPr><w:t xml:space="preserve">Tous les utilisateurs de systèmes d&apos;IA doivent recevoir une formation annuelle sur les mesures de sécurité et les bonnes pratiques, avec évaluation de leur compréhension.</w:t></w:r></w:p><w:p><w:pPr><w:pStyle w:val="Heading1"/></w:pPr><w:r><w:t xml:space="preserve">12. Audit et conformité</w:t></w:r></w:p><w:p><w:r><w:rPr><w:rFonts w:ascii="Arial" w:cs="Arial" w:eastAsia="Arial" w:hAnsi="Arial"/><w:color w:val="404040"/><w:sz w:val="22"/><w:szCs w:val="22"/></w:rPr><w:t xml:space="preserve">La conformité à cette politique est évaluée par audit interne annuel et audit externe tous les deux ans. Les résultats sont rapportés au Comité de gouvernance IA.</w:t></w:r></w:p><w:p><w:pPr><w:pStyle w:val="Heading1"/></w:pPr><w:r><w:t xml:space="preserve">Révision et gouvernance</w:t></w:r></w:p><w:p><w:r><w:rPr><w:rFonts w:ascii="Arial" w:cs="Arial" w:eastAsia="Arial" w:hAnsi="Arial"/><w:color w:val="404040"/><w:sz w:val="22"/><w:szCs w:val="22"/></w:rPr><w:t xml:space="preserve">Le présent document fait l&apos;objet d&apos;une révision annuelle ou lors de tout changement significatif dans l&apos;environnement réglementaire, technologique ou organisationnel.</w:t></w:r></w:p><w:p><w:pPr><w:pStyle w:val="Heading2"/></w:pPr><w:r><w:t xml:space="preserve">Critères déclenchant une révision anticipée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Modification substantielle de la législation applicable (Loi 25, C-27/LIAD, EU AI Act)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Incident majeur lié à l&apos;IA au sein de l&apos;organisation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Changement organisationnel significatif (fusion, acquisition, restructuration)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Évolution technologique majeure impactant les systèmes IA en place</w:t></w:r></w:p><w:p><w:pPr><w:pStyle w:val="ListParagraph"/><w:numPr><w:ilvl w:val="0"/><w:numId w:val="2"/></w:numPr></w:pPr><w:r><w:rPr><w:rFonts w:ascii="Arial" w:cs="Arial" w:eastAsia="Arial" w:hAnsi="Arial"/><w:color w:val="404040"/><w:sz w:val="22"/><w:szCs w:val="22"/></w:rPr><w:t xml:space="preserve">Recommandation issue d&apos;un audit interne ou externe</w:t></w:r></w:p><w:p><w:pPr><w:pStyle w:val="Heading2"/></w:pPr><w:r><w:t xml:space="preserve">Processus de révision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responsable du document initie la révision selon le calendrier établi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parties prenantes sont consultées et fournissent leurs commentaires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Les modifications sont documentées dans l&apos;historique des versions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Le document révisé est soumis à l&apos;approbation de l&apos;autorité compétente</w:t></w:r></w:p><w:p><w:pPr><w:pStyle w:val="ListParagraph"/><w:numPr><w:ilvl w:val="0"/><w:numId w:val="3"/></w:numPr></w:pPr><w:r><w:rPr><w:rFonts w:ascii="Arial" w:cs="Arial" w:eastAsia="Arial" w:hAnsi="Arial"/><w:color w:val="404040"/><w:sz w:val="22"/><w:szCs w:val="22"/></w:rPr><w:t xml:space="preserve">La version approuvée est diffusée et les parties prenantes sont informées</w:t></w:r></w:p><w:p><w:pPr><w:spacing w:before="200"/></w:pPr></w:p><w:p><w:pPr><w:pStyle w:val="Heading1"/></w:pPr><w:r><w:t xml:space="preserve">Annexe A - Glossaire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Terme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shd w:fill="1B3A5C" w:val="clear"/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b/><w:bCs/><w:color w:val="FFFFFF"/><w:sz w:val="18"/><w:szCs w:val="18"/></w:rPr><w:t xml:space="preserve">Définition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Intelligence artificielle (IA)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Ensemble de techniques permettant à des machines de simuler des capacités cognitives humaines telles que l&apos;apprentissage, le raisonnement et la prise de décision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IA générative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Catégorie de systèmes d&apos;IA capables de générer du contenu original (texte, images, code, audio) à partir de modèles entraînés sur de grands ensembles de données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de langage (LLM)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Modèle d&apos;IA entraîné sur de vastes corpus de texte, capable de comprendre et générer du langage naturel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Biais algorithmique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Tendance systématique d&apos;un système d&apos;IA à produire des résultats inéquitables en raison de données d&apos;entraînement ou de choix de conception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Renseignement personnel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Selon la Loi 25, tout renseignement qui concerne une personne physique et permet directement ou indirectement de l&apos;identifier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25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modernisant des dispositions législatives en matière de protection des renseignements personnels (Québec, 2021-2024)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LIAD (C-27)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Loi sur l&apos;intelligence artificielle et les données, partie du projet de loi fédéral C-27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EU AI Act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Règlement européen sur l&apos;intelligence artificielle (Règlement (UE) 2024/1689)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ÉIVP / PIA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Évaluation des impacts sur la vie privée / Privacy Impact Assessment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Explicabilité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Capacité à expliquer de manière compréhensible le fonctionnement et les décisions d&apos;un système d&apos;IA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API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Interface de programmation permettant la communication entre systèmes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Phishing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Tentative d&apos;usurpation d&apos;identité par email ou message frauduleux</w:t></w:r></w:p></w:tc></w:tr><w:tr><w:tc><w:tcPr><w:tcW w:type="dxa" w:w="300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Malware</w:t></w:r></w:p></w:tc><w:tc><w:tcPr><w:tcW w:type="dxa" w:w="6360"/><w:tcBorders><w:top w:val="single" w:color="CCCCCC" w:sz="1"/><w:left w:val="single" w:color="CCCCCC" w:sz="1"/><w:bottom w:val="single" w:color="CCCCCC" w:sz="1"/><w:right w:val="single" w:color="CCCCCC" w:sz="1"/></w:tcBorders><w:tcMar><w:top w:type="dxa" w:w="60"/><w:left w:type="dxa" w:w="100"/><w:bottom w:type="dxa" w:w="60"/><w:right w:type="dxa" w:w="100"/></w:tcMar><w:vAlign w:val="center"/></w:tcPr><w:p><w:pPr><w:spacing w:after="0"/></w:pPr><w:r><w:rPr><w:rFonts w:ascii="Arial" w:cs="Arial" w:eastAsia="Arial" w:hAnsi="Arial"/><w:sz w:val="18"/><w:szCs w:val="18"/></w:rPr><w:t xml:space="preserve">Logiciel malveillant conçu pour endommager ou espionner un système</w:t></w:r></w:p></w:tc></w:tr></w:tbl><w:sectPr><w:headerReference w:type="default" r:id="rId7"/><w:footerReference w:type="default" r:id="rId8"/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666666"/>
        <w:sz w:val="14"/>
        <w:szCs w:val="14"/>
      </w:rPr>
      <w:t xml:space="preserve">Document confidentiel - [NOM_ORGANISATION]</w:t>
    </w:r>
    <w:r>
      <w:rPr>
        <w:rFonts w:ascii="Arial" w:cs="Arial" w:eastAsia="Arial" w:hAnsi="Arial"/>
        <w:color w:val="666666"/>
        <w:sz w:val="14"/>
        <w:szCs w:val="14"/>
      </w:rPr>
      <w:t xml:space="preserve">	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color w:val="666666"/>
        <w:sz w:val="16"/>
        <w:szCs w:val="16"/>
      </w:rPr>
      <w:t xml:space="preserve">[NOM_ORGANISATION]</w:t>
    </w:r>
    <w:r>
      <w:rPr>
        <w:rFonts w:ascii="Arial" w:cs="Arial" w:eastAsia="Arial" w:hAnsi="Arial"/>
        <w:i/>
        <w:iCs/>
        <w:color w:val="2E75B6"/>
        <w:sz w:val="16"/>
        <w:szCs w:val="16"/>
      </w:rPr>
      <w:t xml:space="preserve">	Politique de sécurité de l'information liée à l'IA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2026-03-05T02:27:12.097Z</dcterms:created>
  <dcterms:modified xsi:type="dcterms:W3CDTF">2026-03-05T02:27:12.097Z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