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4000"/></w:pPr></w:p><w:p><w:pPr><w:spacing w:after="200"/><w:jc w:val="center"/></w:pPr><w:r><w:rPr><w:rFonts w:ascii="Arial" w:cs="Arial" w:eastAsia="Arial" w:hAnsi="Arial"/><w:color w:val="666666"/><w:sz w:val="28"/><w:szCs w:val="28"/></w:rPr><w:t xml:space="preserve">[NOM_ORGANISATION]</w:t></w:r></w:p><w:p><w:pPr><w:pBdr><w:bottom w:val="single" w:color="2E75B6" w:sz="8" w:space="8"/></w:pBdr><w:spacing w:after="100"/><w:jc w:val="center"/></w:pPr><w:r><w:rPr><w:sz w:val="8"/><w:szCs w:val="8"/></w:rPr><w:t xml:space="preserve"> </w:t></w:r></w:p><w:p><w:pPr><w:spacing w:after="200" w:before="400"/><w:jc w:val="center"/></w:pPr><w:r><w:rPr><w:rFonts w:ascii="Arial" w:cs="Arial" w:eastAsia="Arial" w:hAnsi="Arial"/><w:b/><w:bCs/><w:color w:val="1B3A5C"/><w:sz w:val="48"/><w:szCs w:val="48"/></w:rPr><w:t xml:space="preserve">Politique de confidentialité des données et IA</w:t></w:r></w:p><w:p><w:pPr><w:spacing w:after="600"/><w:jc w:val="center"/></w:pPr><w:r><w:rPr><w:rFonts w:ascii="Arial" w:cs="Arial" w:eastAsia="Arial" w:hAnsi="Arial"/><w:color w:val="2E75B6"/><w:sz w:val="24"/><w:szCs w:val="24"/></w:rPr><w:t xml:space="preserve">Traitement des données personnelles par les systèmes d&apos;IA</w:t></w:r></w:p><w:p><w:pPr><w:pBdr><w:top w:val="single" w:color="2E75B6" w:sz="8" w:space="8"/></w:pBdr><w:spacing w:after="100"/><w:jc w:val="center"/></w:pPr><w:r><w:rPr><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c><w:tcPr><w:tcW w:type="dxa" w:w="3000"/><w:tcBorders><w:top w:val="single" w:color="CCCCCC" w:sz="1"/><w:left w:val="single" w:color="CCCCCC" w:sz="1"/><w:bottom w:val="single" w:color="CCCCCC" w:sz="1"/><w:right w:val="single" w:color="CCCCCC" w:sz="1"/></w:tcBorders><w:shd w:fill="D5E8F0" w:val="clear"/><w:tcMar><w:top w:type="dxa" w:w="60"/><w:left w:type="dxa" w:w="120"/><w:bottom w:type="dxa" w:w="60"/><w:right w:type="dxa" w:w="120"/></w:tcMar></w:tcPr><w:p><w:pPr><w:spacing w:after="0"/></w:pPr><w:r><w:rPr><w:rFonts w:ascii="Arial" w:cs="Arial" w:eastAsia="Arial" w:hAnsi="Arial"/><w:b/><w:bCs/><w:color w:val="1B3A5C"/><w:sz w:val="20"/><w:szCs w:val="20"/></w:rPr><w:t xml:space="preserve">Version</w:t></w:r></w:p></w:tc><w:tc><w:tcPr><w:tcW w:type="dxa" w:w="636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20"/><w:szCs w:val="20"/></w:rPr><w:t xml:space="preserve">[VERSION]</w:t></w:r></w:p></w:tc></w:tr><w:tr><w:tc><w:tcPr><w:tcW w:type="dxa" w:w="3000"/><w:tcBorders><w:top w:val="single" w:color="CCCCCC" w:sz="1"/><w:left w:val="single" w:color="CCCCCC" w:sz="1"/><w:bottom w:val="single" w:color="CCCCCC" w:sz="1"/><w:right w:val="single" w:color="CCCCCC" w:sz="1"/></w:tcBorders><w:shd w:fill="D5E8F0" w:val="clear"/><w:tcMar><w:top w:type="dxa" w:w="60"/><w:left w:type="dxa" w:w="120"/><w:bottom w:type="dxa" w:w="60"/><w:right w:type="dxa" w:w="120"/></w:tcMar></w:tcPr><w:p><w:pPr><w:spacing w:after="0"/></w:pPr><w:r><w:rPr><w:rFonts w:ascii="Arial" w:cs="Arial" w:eastAsia="Arial" w:hAnsi="Arial"/><w:b/><w:bCs/><w:color w:val="1B3A5C"/><w:sz w:val="20"/><w:szCs w:val="20"/></w:rPr><w:t xml:space="preserve">Date</w:t></w:r></w:p></w:tc><w:tc><w:tcPr><w:tcW w:type="dxa" w:w="636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20"/><w:szCs w:val="20"/></w:rPr><w:t xml:space="preserve">[DATE_DOCUMENT]</w:t></w:r></w:p></w:tc></w:tr><w:tr><w:tc><w:tcPr><w:tcW w:type="dxa" w:w="3000"/><w:tcBorders><w:top w:val="single" w:color="CCCCCC" w:sz="1"/><w:left w:val="single" w:color="CCCCCC" w:sz="1"/><w:bottom w:val="single" w:color="CCCCCC" w:sz="1"/><w:right w:val="single" w:color="CCCCCC" w:sz="1"/></w:tcBorders><w:shd w:fill="D5E8F0" w:val="clear"/><w:tcMar><w:top w:type="dxa" w:w="60"/><w:left w:type="dxa" w:w="120"/><w:bottom w:type="dxa" w:w="60"/><w:right w:type="dxa" w:w="120"/></w:tcMar></w:tcPr><w:p><w:pPr><w:spacing w:after="0"/></w:pPr><w:r><w:rPr><w:rFonts w:ascii="Arial" w:cs="Arial" w:eastAsia="Arial" w:hAnsi="Arial"/><w:b/><w:bCs/><w:color w:val="1B3A5C"/><w:sz w:val="20"/><w:szCs w:val="20"/></w:rPr><w:t xml:space="preserve">Classification</w:t></w:r></w:p></w:tc><w:tc><w:tcPr><w:tcW w:type="dxa" w:w="636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20"/><w:szCs w:val="20"/></w:rPr><w:t xml:space="preserve">Confidentiel</w:t></w:r></w:p></w:tc></w:tr><w:tr><w:tc><w:tcPr><w:tcW w:type="dxa" w:w="3000"/><w:tcBorders><w:top w:val="single" w:color="CCCCCC" w:sz="1"/><w:left w:val="single" w:color="CCCCCC" w:sz="1"/><w:bottom w:val="single" w:color="CCCCCC" w:sz="1"/><w:right w:val="single" w:color="CCCCCC" w:sz="1"/></w:tcBorders><w:shd w:fill="D5E8F0" w:val="clear"/><w:tcMar><w:top w:type="dxa" w:w="60"/><w:left w:type="dxa" w:w="120"/><w:bottom w:type="dxa" w:w="60"/><w:right w:type="dxa" w:w="120"/></w:tcMar></w:tcPr><w:p><w:pPr><w:spacing w:after="0"/></w:pPr><w:r><w:rPr><w:rFonts w:ascii="Arial" w:cs="Arial" w:eastAsia="Arial" w:hAnsi="Arial"/><w:b/><w:bCs/><w:color w:val="1B3A5C"/><w:sz w:val="20"/><w:szCs w:val="20"/></w:rPr><w:t xml:space="preserve">Responsable</w:t></w:r></w:p></w:tc><w:tc><w:tcPr><w:tcW w:type="dxa" w:w="636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20"/><w:szCs w:val="20"/></w:rPr><w:t xml:space="preserve">[RESPONSABLE_DOCUMENT]</w:t></w:r></w:p></w:tc></w:tr></w:tbl><w:p><w:r><w:br w:type="page"/></w:r></w:p><w:p><w:pPr><w:sectPr><w:pgSz w:w="12240" w:h="15840" w:orient="portrait"/><w:pgMar w:top="1440" w:right="1440" w:bottom="1440" w:left="1440" w:header="708" w:footer="708" w:gutter="0"/><w:pgNumType/><w:docGrid w:linePitch="360"/></w:sectPr></w:pPr></w:p><w:sdt><w:sdtPr><w:alias w:val="Table des matières"/></w:sdtPr><w:sdtContent><w:p><w:r><w:fldChar w:fldCharType="begin" w:dirty="true"/><w:instrText xml:space="preserve">TOC \h \o &quot;1-3&quot;</w:instrText><w:fldChar w:fldCharType="separate"/></w:r></w:p><w:p><w:r><w:fldChar w:fldCharType="end"/></w:r></w:p></w:sdtContent></w:sdt><w:p><w:r><w:br w:type="page"/></w:r></w:p><w:p><w:pPr><w:pStyle w:val="Heading1"/></w:pPr><w:r><w:t xml:space="preserve">Contrôle du document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2340"/><w:gridCol w:w="2340"/><w:gridCol w:w="2340"/></w:tblGrid><w:tr><w:tc><w:tcPr><w:tcW w:type="dxa" w:w="2340"/><w:tcBorders><w:top w:val="single" w:color="CCCCCC" w:sz="1"/><w:left w:val="single" w:color="CCCCCC" w:sz="1"/><w:bottom w:val="single" w:color="CCCCCC" w:sz="1"/><w:right w:val="single" w:color="CCCCCC" w:sz="1"/></w:tcBorders><w:shd w:fill="1B3A5C" w:val="clear"/><w:tcMar><w:top w:type="dxa" w:w="60"/><w:left w:type="dxa" w:w="120"/><w:bottom w:type="dxa" w:w="60"/><w:right w:type="dxa" w:w="120"/></w:tcMar></w:tcPr><w:p><w:pPr><w:spacing w:after="0"/></w:pPr><w:r><w:rPr><w:rFonts w:ascii="Arial" w:cs="Arial" w:eastAsia="Arial" w:hAnsi="Arial"/><w:b/><w:bCs/><w:color w:val="FFFFFF"/><w:sz w:val="18"/><w:szCs w:val="18"/></w:rPr><w:t xml:space="preserve">Élément</w:t></w:r></w:p></w:tc><w:tc><w:tcPr><w:tcW w:type="dxa" w:w="2340"/><w:tcBorders><w:top w:val="single" w:color="CCCCCC" w:sz="1"/><w:left w:val="single" w:color="CCCCCC" w:sz="1"/><w:bottom w:val="single" w:color="CCCCCC" w:sz="1"/><w:right w:val="single" w:color="CCCCCC" w:sz="1"/></w:tcBorders><w:shd w:fill="1B3A5C" w:val="clear"/><w:tcMar><w:top w:type="dxa" w:w="60"/><w:left w:type="dxa" w:w="120"/><w:bottom w:type="dxa" w:w="60"/><w:right w:type="dxa" w:w="120"/></w:tcMar></w:tcPr><w:p><w:pPr><w:spacing w:after="0"/></w:pPr><w:r><w:rPr><w:rFonts w:ascii="Arial" w:cs="Arial" w:eastAsia="Arial" w:hAnsi="Arial"/><w:b/><w:bCs/><w:color w:val="FFFFFF"/><w:sz w:val="18"/><w:szCs w:val="18"/></w:rPr><w:t xml:space="preserve">Nom</w:t></w:r></w:p></w:tc><w:tc><w:tcPr><w:tcW w:type="dxa" w:w="2340"/><w:tcBorders><w:top w:val="single" w:color="CCCCCC" w:sz="1"/><w:left w:val="single" w:color="CCCCCC" w:sz="1"/><w:bottom w:val="single" w:color="CCCCCC" w:sz="1"/><w:right w:val="single" w:color="CCCCCC" w:sz="1"/></w:tcBorders><w:shd w:fill="1B3A5C" w:val="clear"/><w:tcMar><w:top w:type="dxa" w:w="60"/><w:left w:type="dxa" w:w="120"/><w:bottom w:type="dxa" w:w="60"/><w:right w:type="dxa" w:w="120"/></w:tcMar></w:tcPr><w:p><w:pPr><w:spacing w:after="0"/></w:pPr><w:r><w:rPr><w:rFonts w:ascii="Arial" w:cs="Arial" w:eastAsia="Arial" w:hAnsi="Arial"/><w:b/><w:bCs/><w:color w:val="FFFFFF"/><w:sz w:val="18"/><w:szCs w:val="18"/></w:rPr><w:t xml:space="preserve">Fonction</w:t></w:r></w:p></w:tc><w:tc><w:tcPr><w:tcW w:type="dxa" w:w="2340"/><w:tcBorders><w:top w:val="single" w:color="CCCCCC" w:sz="1"/><w:left w:val="single" w:color="CCCCCC" w:sz="1"/><w:bottom w:val="single" w:color="CCCCCC" w:sz="1"/><w:right w:val="single" w:color="CCCCCC" w:sz="1"/></w:tcBorders><w:shd w:fill="1B3A5C" w:val="clear"/><w:tcMar><w:top w:type="dxa" w:w="60"/><w:left w:type="dxa" w:w="120"/><w:bottom w:type="dxa" w:w="60"/><w:right w:type="dxa" w:w="120"/></w:tcMar></w:tcPr><w:p><w:pPr><w:spacing w:after="0"/></w:pPr><w:r><w:rPr><w:rFonts w:ascii="Arial" w:cs="Arial" w:eastAsia="Arial" w:hAnsi="Arial"/><w:b/><w:bCs/><w:color w:val="FFFFFF"/><w:sz w:val="18"/><w:szCs w:val="18"/></w:rPr><w:t xml:space="preserve">Date</w:t></w:r></w:p></w:tc></w:tr><w:tr><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Auteur</w:t></w:r></w:p></w:tc><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[NOM_AUTEUR]</w:t></w:r></w:p></w:tc><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[FONCTION_AUTEUR]</w:t></w:r></w:p></w:tc><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[DATE_CRÉATION]</w:t></w:r></w:p></w:tc></w:tr><w:tr><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Réviseur</w:t></w:r></w:p></w:tc><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[NOM_RÉVISEUR]</w:t></w:r></w:p></w:tc><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[FONCTION_RÉVISEUR]</w:t></w:r></w:p></w:tc><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[DATE_RÉVISION]</w:t></w:r></w:p></w:tc></w:tr><w:tr><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Approbateur</w:t></w:r></w:p></w:tc><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[NOM_APPROBATEUR]</w:t></w:r></w:p></w:tc><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[FONCTION_APPROBATEUR]</w:t></w:r></w:p></w:tc><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[DATE_APPROBATION]</w:t></w:r></w:p></w:tc></w:tr></w:tbl><w:p><w:pPr><w:spacing w:before="200"/></w:pPr></w:p><w:p><w:pPr><w:pStyle w:val="Heading2"/></w:pPr><w:r><w:t xml:space="preserve">Historique des versions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2340"/><w:gridCol w:w="2340"/><w:gridCol w:w="2340"/></w:tblGrid><w:tr><w:tc><w:tcPr><w:tcW w:type="dxa" w:w="2340"/><w:tcBorders><w:top w:val="single" w:color="CCCCCC" w:sz="1"/><w:left w:val="single" w:color="CCCCCC" w:sz="1"/><w:bottom w:val="single" w:color="CCCCCC" w:sz="1"/><w:right w:val="single" w:color="CCCCCC" w:sz="1"/></w:tcBorders><w:shd w:fill="1B3A5C" w:val="clear"/><w:tcMar><w:top w:type="dxa" w:w="60"/><w:left w:type="dxa" w:w="120"/><w:bottom w:type="dxa" w:w="60"/><w:right w:type="dxa" w:w="120"/></w:tcMar></w:tcPr><w:p><w:pPr><w:spacing w:after="0"/></w:pPr><w:r><w:rPr><w:rFonts w:ascii="Arial" w:cs="Arial" w:eastAsia="Arial" w:hAnsi="Arial"/><w:b/><w:bCs/><w:color w:val="FFFFFF"/><w:sz w:val="18"/><w:szCs w:val="18"/></w:rPr><w:t xml:space="preserve">Version</w:t></w:r></w:p></w:tc><w:tc><w:tcPr><w:tcW w:type="dxa" w:w="2340"/><w:tcBorders><w:top w:val="single" w:color="CCCCCC" w:sz="1"/><w:left w:val="single" w:color="CCCCCC" w:sz="1"/><w:bottom w:val="single" w:color="CCCCCC" w:sz="1"/><w:right w:val="single" w:color="CCCCCC" w:sz="1"/></w:tcBorders><w:shd w:fill="1B3A5C" w:val="clear"/><w:tcMar><w:top w:type="dxa" w:w="60"/><w:left w:type="dxa" w:w="120"/><w:bottom w:type="dxa" w:w="60"/><w:right w:type="dxa" w:w="120"/></w:tcMar></w:tcPr><w:p><w:pPr><w:spacing w:after="0"/></w:pPr><w:r><w:rPr><w:rFonts w:ascii="Arial" w:cs="Arial" w:eastAsia="Arial" w:hAnsi="Arial"/><w:b/><w:bCs/><w:color w:val="FFFFFF"/><w:sz w:val="18"/><w:szCs w:val="18"/></w:rPr><w:t xml:space="preserve">Date</w:t></w:r></w:p></w:tc><w:tc><w:tcPr><w:tcW w:type="dxa" w:w="2340"/><w:tcBorders><w:top w:val="single" w:color="CCCCCC" w:sz="1"/><w:left w:val="single" w:color="CCCCCC" w:sz="1"/><w:bottom w:val="single" w:color="CCCCCC" w:sz="1"/><w:right w:val="single" w:color="CCCCCC" w:sz="1"/></w:tcBorders><w:shd w:fill="1B3A5C" w:val="clear"/><w:tcMar><w:top w:type="dxa" w:w="60"/><w:left w:type="dxa" w:w="120"/><w:bottom w:type="dxa" w:w="60"/><w:right w:type="dxa" w:w="120"/></w:tcMar></w:tcPr><w:p><w:pPr><w:spacing w:after="0"/></w:pPr><w:r><w:rPr><w:rFonts w:ascii="Arial" w:cs="Arial" w:eastAsia="Arial" w:hAnsi="Arial"/><w:b/><w:bCs/><w:color w:val="FFFFFF"/><w:sz w:val="18"/><w:szCs w:val="18"/></w:rPr><w:t xml:space="preserve">Auteur</w:t></w:r></w:p></w:tc><w:tc><w:tcPr><w:tcW w:type="dxa" w:w="2340"/><w:tcBorders><w:top w:val="single" w:color="CCCCCC" w:sz="1"/><w:left w:val="single" w:color="CCCCCC" w:sz="1"/><w:bottom w:val="single" w:color="CCCCCC" w:sz="1"/><w:right w:val="single" w:color="CCCCCC" w:sz="1"/></w:tcBorders><w:shd w:fill="1B3A5C" w:val="clear"/><w:tcMar><w:top w:type="dxa" w:w="60"/><w:left w:type="dxa" w:w="120"/><w:bottom w:type="dxa" w:w="60"/><w:right w:type="dxa" w:w="120"/></w:tcMar></w:tcPr><w:p><w:pPr><w:spacing w:after="0"/></w:pPr><w:r><w:rPr><w:rFonts w:ascii="Arial" w:cs="Arial" w:eastAsia="Arial" w:hAnsi="Arial"/><w:b/><w:bCs/><w:color w:val="FFFFFF"/><w:sz w:val="18"/><w:szCs w:val="18"/></w:rPr><w:t xml:space="preserve">Description des modifications</w:t></w:r></w:p></w:tc></w:tr><w:tr><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1.0</w:t></w:r></w:p></w:tc><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[DATE_CRÉATION]</w:t></w:r></w:p></w:tc><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[NOM_AUTEUR]</w:t></w:r></w:p></w:tc><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Création initiale du document</w:t></w:r></w:p></w:tc></w:tr><w:tr><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w:t></w:r></w:p></w:tc><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w:t></w:r></w:p></w:tc><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w:t></w:r></w:p></w:tc><w:tc><w:tcPr><w:tcW w:type="dxa" w:w="2340"/><w:tcBorders><w:top w:val="single" w:color="CCCCCC" w:sz="1"/><w:left w:val="single" w:color="CCCCCC" w:sz="1"/><w:bottom w:val="single" w:color="CCCCCC" w:sz="1"/><w:right w:val="single" w:color="CCCCCC" w:sz="1"/></w:tcBorders><w:tcMar><w:top w:type="dxa" w:w="60"/><w:left w:type="dxa" w:w="120"/><w:bottom w:type="dxa" w:w="60"/><w:right w:type="dxa" w:w="120"/></w:tcMar></w:tcPr><w:p><w:pPr><w:spacing w:after="0"/></w:pPr><w:r><w:rPr><w:rFonts w:ascii="Arial" w:cs="Arial" w:eastAsia="Arial" w:hAnsi="Arial"/><w:sz w:val="18"/><w:szCs w:val="18"/></w:rPr><w:t xml:space="preserve"></w:t></w:r></w:p></w:tc></w:tr></w:tbl><w:p><w:r><w:br w:type="page"/></w:r></w:p><w:p><w:pPr><w:pStyle w:val="Heading1"/></w:pPr><w:r><w:t xml:space="preserve">1. Objectif et portée</w:t></w:r></w:p><w:p><w:r><w:rPr><w:rFonts w:ascii="Arial" w:cs="Arial" w:eastAsia="Arial" w:hAnsi="Arial"/><w:color w:val="404040"/><w:sz w:val="22"/><w:szCs w:val="22"/></w:rPr><w:t xml:space="preserve">La présente politique établit les principes et procédures que [NOM_ORGANISATION] applique pour le traitement des données personnelles et sensibles par ses systèmes d&apos;intelligence artificielle, conformément à la Loi 25 et au cadre juridique canadien et québécois.</w:t></w:r></w:p><w:p><w:pPr><w:pStyle w:val="Heading2"/></w:pPr><w:r><w:t xml:space="preserve">1.1 Définitions</w:t></w:r></w:p><0/><w:p><w:pPr><w:pStyle w:val="Heading1"/></w:pPr><w:r><w:t xml:space="preserve">2. Principes fondamentaux de confidentialité</w:t></w:r></w:p><w:p><w:pPr><w:pStyle w:val="Heading2"/></w:pPr><w:r><w:t xml:space="preserve">2.1 Licite et loyale</w:t></w:r></w:p><w:p><w:r><w:rPr><w:rFonts w:ascii="Arial" w:cs="Arial" w:eastAsia="Arial" w:hAnsi="Arial"/><w:color w:val="404040"/><w:sz w:val="22"/><w:szCs w:val="22"/></w:rPr><w:t xml:space="preserve">Tout traitement de données personnelles doit être autorisé par la loi ou reposer sur le consentement explicite de la personne concernée. Les données ne doivent pas être traitées de manière trompeuse ou dans une finalité non divulguée.</w:t></w:r></w:p><w:p><w:pPr><w:pStyle w:val="Heading2"/></w:pPr><w:r><w:t xml:space="preserve">2.2 Minimisation des données</w:t></w:r></w:p><w:p><w:r><w:rPr><w:rFonts w:ascii="Arial" w:cs="Arial" w:eastAsia="Arial" w:hAnsi="Arial"/><w:color w:val="404040"/><w:sz w:val="22"/><w:szCs w:val="22"/></w:rPr><w:t xml:space="preserve">Seules les données personnelles directement nécessaires au fonctionnement du système d&apos;IA doivent être collectées et traitées. Les données excessives ou non pertinentes ne doivent pas être incluses.</w:t></w:r></w:p><w:p><w:pPr><w:pStyle w:val="Heading2"/></w:pPr><w:r><w:t xml:space="preserve">2.3 Limitation de la finalité</w:t></w:r></w:p><w:p><w:r><w:rPr><w:rFonts w:ascii="Arial" w:cs="Arial" w:eastAsia="Arial" w:hAnsi="Arial"/><w:color w:val="404040"/><w:sz w:val="22"/><w:szCs w:val="22"/></w:rPr><w:t xml:space="preserve">Les données personnelles collectées pour une finalité déterminée ne peuvent être traitées pour une finalité différente sans obtenir un nouveau consentement de la personne concernée, sauf obligation légale.</w:t></w:r></w:p><w:p><w:pPr><w:pStyle w:val="Heading2"/></w:pPr><w:r><w:t xml:space="preserve">2.4 Exactitude et mise à jour</w:t></w:r></w:p><w:p><w:r><w:rPr><w:rFonts w:ascii="Arial" w:cs="Arial" w:eastAsia="Arial" w:hAnsi="Arial"/><w:color w:val="404040"/><w:sz w:val="22"/><w:szCs w:val="22"/></w:rPr><w:t xml:space="preserve">Les données personnelles doivent être exactes et à jour. Les procédures de correction et mise à jour doivent être établies et communiquées aux individus.</w:t></w:r></w:p><w:p><w:pPr><w:pStyle w:val="Heading2"/></w:pPr><w:r><w:t xml:space="preserve">2.5 Intégrité et confidentialité</w:t></w:r></w:p><w:p><w:r><w:rPr><w:rFonts w:ascii="Arial" w:cs="Arial" w:eastAsia="Arial" w:hAnsi="Arial"/><w:color w:val="404040"/><w:sz w:val="22"/><w:szCs w:val="22"/></w:rPr><w:t xml:space="preserve">Les données personnelles doivent être protégées contre l&apos;accès non autorisé, l&apos;altération et la destruction par des mesures de sécurité techniques et organisationnelles appropriées.</w:t></w:r></w:p><w:p><w:pPr><w:pStyle w:val="Heading2"/></w:pPr><w:r><w:t xml:space="preserve">2.6 Droit d&apos;accès et d&apos;opposition</w:t></w:r></w:p><w:p><w:r><w:rPr><w:rFonts w:ascii="Arial" w:cs="Arial" w:eastAsia="Arial" w:hAnsi="Arial"/><w:color w:val="404040"/><w:sz w:val="22"/><w:szCs w:val="22"/></w:rPr><w:t xml:space="preserve">Les individus ont le droit d&apos;accéder à leurs données personnelles et de s&apos;opposer au traitement. Les procédures doivent être établies pour exercer ces droits dans les délais légaux.</w:t></w:r></w:p><w:p><w:pPr><w:pStyle w:val="Heading1"/></w:pPr><w:r><w:t xml:space="preserve">3. Consentement et bases légales</w:t></w:r></w:p><w:p><w:pPr><w:pStyle w:val="Heading2"/></w:pPr><w:r><w:t xml:space="preserve">3.1 Types de bases légales</w:t></w:r></w:p><0/><w:p><w:pPr><w:pStyle w:val="Heading2"/></w:pPr><w:r><w:t xml:space="preserve">3.2 Collecte du consentement</w:t></w:r></w:p><0/><w:p><w:pPr><w:pStyle w:val="Heading2"/></w:pPr><w:r><w:t xml:space="preserve">3.3 Documentation des bases légales</w:t></w:r></w:p><0/><w:p><w:pPr><w:pStyle w:val="Heading1"/></w:pPr><w:r><w:t xml:space="preserve">4. Gestion du cycle de vie des données</w:t></w:r></w:p><w:p><w:pPr><w:pStyle w:val="Heading2"/></w:pPr><w:r><w:t xml:space="preserve">4.1 Phase de collecte</w:t></w:r></w:p><0/><w:p><w:pPr><w:pStyle w:val="Heading2"/></w:pPr><w:r><w:t xml:space="preserve">4.2 Phase de traitement par l&apos;IA</w:t></w:r></w:p><0/><w:p><w:pPr><w:pStyle w:val="Heading2"/></w:pPr><w:r><w:t xml:space="preserve">4.3 Phase de conservation</w:t></w:r></w:p><0/><w:p><w:pPr><w:pStyle w:val="Heading2"/></w:pPr><w:r><w:t xml:space="preserve">4.4 Phase de suppression</w:t></w:r></w:p><0/><w:p><w:pPr><w:pStyle w:val="Heading1"/></w:pPr><w:r><w:t xml:space="preserve">5. Conformité à la Loi 25</w:t></w:r></w:p><w:p><w:pPr><w:pStyle w:val="Heading2"/></w:pPr><w:r><w:t xml:space="preserve">5.1 Exigences principales de la Loi 25</w:t></w:r></w:p><0/><w:p><w:pPr><w:pStyle w:val="Heading2"/></w:pPr><w:r><w:t xml:space="preserve">5.2 Implémentation dans les systèmes d&apos;IA</w:t></w:r></w:p><0/><w:p><w:pPr><w:pStyle w:val="Heading1"/></w:pPr><w:r><w:t xml:space="preserve">6. Données sensibles - Mesures additionnelles</w:t></w:r></w:p><w:p><w:pPr><w:pStyle w:val="Heading2"/></w:pPr><w:r><w:t xml:space="preserve">6.1 Identification des données sensibles</w:t></w:r></w:p><w:p><w:r><w:rPr><w:rFonts w:ascii="Arial" w:cs="Arial" w:eastAsia="Arial" w:hAnsi="Arial"/><w:color w:val="404040"/><w:sz w:val="22"/><w:szCs w:val="22"/></w:rPr><w:t xml:space="preserve">Les données sensibles incluent données raciales/ethniques, convictions politiques, croyances religieuses, données de santé, données biométriques, données relatives aux condamnations pénales.</w:t></w:r></w:p><w:p><w:pPr><w:pStyle w:val="Heading2"/></w:pPr><w:r><w:t xml:space="preserve">6.2 Restrictions sur le traitement</w:t></w:r></w:p><0/><w:p><w:pPr><w:pStyle w:val="Heading2"/></w:pPr><w:r><w:t xml:space="preserve">6.3 Mesures de sécurité renforcées</w:t></w:r></w:p><0/><w:p><w:pPr><w:pStyle w:val="Heading1"/></w:pPr><w:r><w:t xml:space="preserve">7. Profilage et prise de décision automatisée</w:t></w:r></w:p><w:p><w:pPr><w:pStyle w:val="Heading2"/></w:pPr><w:r><w:t xml:space="preserve">7.1 Définition du profilage</w:t></w:r></w:p><w:p><w:r><w:rPr><w:rFonts w:ascii="Arial" w:cs="Arial" w:eastAsia="Arial" w:hAnsi="Arial"/><w:color w:val="404040"/><w:sz w:val="22"/><w:szCs w:val="22"/></w:rPr><w:t xml:space="preserve">Le profilage est tout traitement automatisé de données personnelles consistant à utiliser ces données pour évaluer certains aspects personnels (comportement, préférences, intérêts), notamment pour prédire ou classer des individus.</w:t></w:r></w:p><w:p><w:pPr><w:pStyle w:val="Heading2"/></w:pPr><w:r><w:t xml:space="preserve">7.2 Restrictions</w:t></w:r></w:p><0/><w:p><w:pPr><w:pStyle w:val="Heading2"/></w:pPr><w:r><w:t xml:space="preserve">7.3 Évaluation et documentation</w:t></w:r></w:p><0/><w:p><w:pPr><w:pStyle w:val="Heading1"/></w:pPr><w:r><w:t xml:space="preserve">8. Transferts de données</w:t></w:r></w:p><w:p><w:pPr><w:pStyle w:val="Heading2"/></w:pPr><w:r><w:t xml:space="preserve">8.1 Transferts internationaux</w:t></w:r></w:p><0/><w:p><w:pPr><w:pStyle w:val="Heading2"/></w:pPr><w:r><w:t xml:space="preserve">8.2 Transferts vers fournisseurs tiers</w:t></w:r></w:p><0/><w:p><w:pPr><w:pStyle w:val="Heading1"/></w:pPr><w:r><w:t xml:space="preserve">9. Droit d&apos;accès et exercice des droits</w:t></w:r></w:p><w:p><w:pPr><w:pStyle w:val="Heading2"/></w:pPr><w:r><w:t xml:space="preserve">9.1 Procédures d&apos;exercice</w:t></w:r></w:p><0/><w:p><w:pPr><w:pStyle w:val="Heading2"/></w:pPr><w:r><w:t xml:space="preserve">9.2 Documentation</w:t></w:r></w:p><0/><w:p><w:pPr><w:pStyle w:val="Heading1"/></w:pPr><w:r><w:t xml:space="preserve">10. Formation et sensibilisation</w:t></w:r></w:p><w:p><w:r><w:rPr><w:rFonts w:ascii="Arial" w:cs="Arial" w:eastAsia="Arial" w:hAnsi="Arial"/><w:color w:val="404040"/><w:sz w:val="22"/><w:szCs w:val="22"/></w:rPr><w:t xml:space="preserve">Tous les employés ayant accès à des données personnelles reçoivent une formation annuelle sur les principes de confidentialité et la Loi 25. Les scientifiques de données et les développeurs reçoivent une formation spéciale sur les aspects confidentialité des systèmes d&apos;IA.</w:t></w:r></w:p><w:p><w:pPr><w:pStyle w:val="Heading1"/></w:pPr><w:r><w:t xml:space="preserve">11. Audit et conformité</w:t></w:r></w:p><w:p><w:r><w:rPr><w:rFonts w:ascii="Arial" w:cs="Arial" w:eastAsia="Arial" w:hAnsi="Arial"/><w:color w:val="404040"/><w:sz w:val="22"/><w:szCs w:val="22"/></w:rPr><w:t xml:space="preserve">Un audit annuel de conformité à cette politique est réalisé. Les résultats et les actions correctrices sont rapportés au Comité de gouvernance IA et au responsable de la protection des données.</w:t></w:r></w:p><w:p><w:pPr><w:pStyle w:val="Heading1"/></w:pPr><w:r><w:t xml:space="preserve">Révision et gouvernance</w:t></w:r></w:p><w:p><w:r><w:rPr><w:rFonts w:ascii="Arial" w:cs="Arial" w:eastAsia="Arial" w:hAnsi="Arial"/><w:color w:val="404040"/><w:sz w:val="22"/><w:szCs w:val="22"/></w:rPr><w:t xml:space="preserve">Le présent document fait l&apos;objet d&apos;une révision annuelle ou lors de tout changement significatif dans l&apos;environnement réglementaire, technologique ou organisationnel.</w:t></w:r></w:p><w:p><w:pPr><w:pStyle w:val="Heading2"/></w:pPr><w:r><w:t xml:space="preserve">Critères déclenchant une révision anticipée</w:t></w:r></w:p><w:p><w:pPr><w:pStyle w:val="ListParagraph"/><w:numPr><w:ilvl w:val="0"/><w:numId w:val="2"/></w:numPr></w:pPr><w:r><w:rPr><w:rFonts w:ascii="Arial" w:cs="Arial" w:eastAsia="Arial" w:hAnsi="Arial"/><w:color w:val="404040"/><w:sz w:val="22"/><w:szCs w:val="22"/></w:rPr><w:t xml:space="preserve">Modification substantielle de la législation applicable (Loi 25, C-27/LIAD, EU AI Act)</w:t></w:r></w:p><w:p><w:pPr><w:pStyle w:val="ListParagraph"/><w:numPr><w:ilvl w:val="0"/><w:numId w:val="2"/></w:numPr></w:pPr><w:r><w:rPr><w:rFonts w:ascii="Arial" w:cs="Arial" w:eastAsia="Arial" w:hAnsi="Arial"/><w:color w:val="404040"/><w:sz w:val="22"/><w:szCs w:val="22"/></w:rPr><w:t xml:space="preserve">Incident majeur lié à l&apos;IA au sein de l&apos;organisation</w:t></w:r></w:p><w:p><w:pPr><w:pStyle w:val="ListParagraph"/><w:numPr><w:ilvl w:val="0"/><w:numId w:val="2"/></w:numPr></w:pPr><w:r><w:rPr><w:rFonts w:ascii="Arial" w:cs="Arial" w:eastAsia="Arial" w:hAnsi="Arial"/><w:color w:val="404040"/><w:sz w:val="22"/><w:szCs w:val="22"/></w:rPr><w:t xml:space="preserve">Changement organisationnel significatif (fusion, acquisition, restructuration)</w:t></w:r></w:p><w:p><w:pPr><w:pStyle w:val="ListParagraph"/><w:numPr><w:ilvl w:val="0"/><w:numId w:val="2"/></w:numPr></w:pPr><w:r><w:rPr><w:rFonts w:ascii="Arial" w:cs="Arial" w:eastAsia="Arial" w:hAnsi="Arial"/><w:color w:val="404040"/><w:sz w:val="22"/><w:szCs w:val="22"/></w:rPr><w:t xml:space="preserve">Évolution technologique majeure impactant les systèmes IA en place</w:t></w:r></w:p><w:p><w:pPr><w:pStyle w:val="ListParagraph"/><w:numPr><w:ilvl w:val="0"/><w:numId w:val="2"/></w:numPr></w:pPr><w:r><w:rPr><w:rFonts w:ascii="Arial" w:cs="Arial" w:eastAsia="Arial" w:hAnsi="Arial"/><w:color w:val="404040"/><w:sz w:val="22"/><w:szCs w:val="22"/></w:rPr><w:t xml:space="preserve">Recommandation issue d&apos;un audit interne ou externe</w:t></w:r></w:p><w:p><w:pPr><w:pStyle w:val="Heading2"/></w:pPr><w:r><w:t xml:space="preserve">Processus de révision</w:t></w:r></w:p><w:p><w:pPr><w:pStyle w:val="ListParagraph"/><w:numPr><w:ilvl w:val="0"/><w:numId w:val="3"/></w:numPr></w:pPr><w:r><w:rPr><w:rFonts w:ascii="Arial" w:cs="Arial" w:eastAsia="Arial" w:hAnsi="Arial"/><w:color w:val="404040"/><w:sz w:val="22"/><w:szCs w:val="22"/></w:rPr><w:t xml:space="preserve">Le responsable du document initie la révision selon le calendrier établi</w:t></w:r></w:p><w:p><w:pPr><w:pStyle w:val="ListParagraph"/><w:numPr><w:ilvl w:val="0"/><w:numId w:val="3"/></w:numPr></w:pPr><w:r><w:rPr><w:rFonts w:ascii="Arial" w:cs="Arial" w:eastAsia="Arial" w:hAnsi="Arial"/><w:color w:val="404040"/><w:sz w:val="22"/><w:szCs w:val="22"/></w:rPr><w:t xml:space="preserve">Les parties prenantes sont consultées et fournissent leurs commentaires</w:t></w:r></w:p><w:p><w:pPr><w:pStyle w:val="ListParagraph"/><w:numPr><w:ilvl w:val="0"/><w:numId w:val="3"/></w:numPr></w:pPr><w:r><w:rPr><w:rFonts w:ascii="Arial" w:cs="Arial" w:eastAsia="Arial" w:hAnsi="Arial"/><w:color w:val="404040"/><w:sz w:val="22"/><w:szCs w:val="22"/></w:rPr><w:t xml:space="preserve">Les modifications sont documentées dans l&apos;historique des versions</w:t></w:r></w:p><w:p><w:pPr><w:pStyle w:val="ListParagraph"/><w:numPr><w:ilvl w:val="0"/><w:numId w:val="3"/></w:numPr></w:pPr><w:r><w:rPr><w:rFonts w:ascii="Arial" w:cs="Arial" w:eastAsia="Arial" w:hAnsi="Arial"/><w:color w:val="404040"/><w:sz w:val="22"/><w:szCs w:val="22"/></w:rPr><w:t xml:space="preserve">Le document révisé est soumis à l&apos;approbation de l&apos;autorité compétente</w:t></w:r></w:p><w:p><w:pPr><w:pStyle w:val="ListParagraph"/><w:numPr><w:ilvl w:val="0"/><w:numId w:val="3"/></w:numPr></w:pPr><w:r><w:rPr><w:rFonts w:ascii="Arial" w:cs="Arial" w:eastAsia="Arial" w:hAnsi="Arial"/><w:color w:val="404040"/><w:sz w:val="22"/><w:szCs w:val="22"/></w:rPr><w:t xml:space="preserve">La version approuvée est diffusée et les parties prenantes sont informées</w:t></w:r></w:p><w:p><w:pPr><w:spacing w:before="200"/></w:pPr></w:p><w:p><w:pPr><w:pStyle w:val="Heading1"/></w:pPr><w:r><w:t xml:space="preserve">Annexe A - Glossaire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c><w:tcPr><w:tcW w:type="dxa" w:w="3000"/><w:tcBorders><w:top w:val="single" w:color="CCCCCC" w:sz="1"/><w:left w:val="single" w:color="CCCCCC" w:sz="1"/><w:bottom w:val="single" w:color="CCCCCC" w:sz="1"/><w:right w:val="single" w:color="CCCCCC" w:sz="1"/></w:tcBorders><w:shd w:fill="1B3A5C" w:val="clear"/><w:tcMar><w:top w:type="dxa" w:w="60"/><w:left w:type="dxa" w:w="100"/><w:bottom w:type="dxa" w:w="60"/><w:right w:type="dxa" w:w="100"/></w:tcMar><w:vAlign w:val="center"/></w:tcPr><w:p><w:pPr><w:spacing w:after="0"/></w:pPr><w:r><w:rPr><w:rFonts w:ascii="Arial" w:cs="Arial" w:eastAsia="Arial" w:hAnsi="Arial"/><w:b/><w:bCs/><w:color w:val="FFFFFF"/><w:sz w:val="18"/><w:szCs w:val="18"/></w:rPr><w:t xml:space="preserve">Terme</w:t></w:r></w:p></w:tc><w:tc><w:tcPr><w:tcW w:type="dxa" w:w="6360"/><w:tcBorders><w:top w:val="single" w:color="CCCCCC" w:sz="1"/><w:left w:val="single" w:color="CCCCCC" w:sz="1"/><w:bottom w:val="single" w:color="CCCCCC" w:sz="1"/><w:right w:val="single" w:color="CCCCCC" w:sz="1"/></w:tcBorders><w:shd w:fill="1B3A5C" w:val="clear"/><w:tcMar><w:top w:type="dxa" w:w="60"/><w:left w:type="dxa" w:w="100"/><w:bottom w:type="dxa" w:w="60"/><w:right w:type="dxa" w:w="100"/></w:tcMar><w:vAlign w:val="center"/></w:tcPr><w:p><w:pPr><w:spacing w:after="0"/></w:pPr><w:r><w:rPr><w:rFonts w:ascii="Arial" w:cs="Arial" w:eastAsia="Arial" w:hAnsi="Arial"/><w:b/><w:bCs/><w:color w:val="FFFFFF"/><w:sz w:val="18"/><w:szCs w:val="18"/></w:rPr><w:t xml:space="preserve">Définition</w:t></w:r></w:p></w:tc></w:tr><w:tr><w:tc><w:tcPr><w:tcW w:type="dxa" w:w="300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Intelligence artificielle (IA)</w:t></w:r></w:p></w:tc><w:tc><w:tcPr><w:tcW w:type="dxa" w:w="636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Ensemble de techniques permettant à des machines de simuler des capacités cognitives humaines telles que l&apos;apprentissage, le raisonnement et la prise de décision</w:t></w:r></w:p></w:tc></w:tr><w:tr><w:tc><w:tcPr><w:tcW w:type="dxa" w:w="300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IA générative</w:t></w:r></w:p></w:tc><w:tc><w:tcPr><w:tcW w:type="dxa" w:w="636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Catégorie de systèmes d&apos;IA capables de générer du contenu original (texte, images, code, audio) à partir de modèles entraînés sur de grands ensembles de données</w:t></w:r></w:p></w:tc></w:tr><w:tr><w:tc><w:tcPr><w:tcW w:type="dxa" w:w="300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Modèle de langage (LLM)</w:t></w:r></w:p></w:tc><w:tc><w:tcPr><w:tcW w:type="dxa" w:w="636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Modèle d&apos;IA entraîné sur de vastes corpus de texte, capable de comprendre et générer du langage naturel</w:t></w:r></w:p></w:tc></w:tr><w:tr><w:tc><w:tcPr><w:tcW w:type="dxa" w:w="300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Biais algorithmique</w:t></w:r></w:p></w:tc><w:tc><w:tcPr><w:tcW w:type="dxa" w:w="636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Tendance systématique d&apos;un système d&apos;IA à produire des résultats inéquitables en raison de données d&apos;entraînement ou de choix de conception</w:t></w:r></w:p></w:tc></w:tr><w:tr><w:tc><w:tcPr><w:tcW w:type="dxa" w:w="300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Renseignement personnel</w:t></w:r></w:p></w:tc><w:tc><w:tcPr><w:tcW w:type="dxa" w:w="636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Selon la Loi 25, tout renseignement qui concerne une personne physique et permet directement ou indirectement de l&apos;identifier</w:t></w:r></w:p></w:tc></w:tr><w:tr><w:tc><w:tcPr><w:tcW w:type="dxa" w:w="300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Loi 25</w:t></w:r></w:p></w:tc><w:tc><w:tcPr><w:tcW w:type="dxa" w:w="636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Loi modernisant des dispositions législatives en matière de protection des renseignements personnels (Québec, 2021-2024)</w:t></w:r></w:p></w:tc></w:tr><w:tr><w:tc><w:tcPr><w:tcW w:type="dxa" w:w="300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LIAD (C-27)</w:t></w:r></w:p></w:tc><w:tc><w:tcPr><w:tcW w:type="dxa" w:w="636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Loi sur l&apos;intelligence artificielle et les données, partie du projet de loi fédéral C-27</w:t></w:r></w:p></w:tc></w:tr><w:tr><w:tc><w:tcPr><w:tcW w:type="dxa" w:w="300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EU AI Act</w:t></w:r></w:p></w:tc><w:tc><w:tcPr><w:tcW w:type="dxa" w:w="636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Règlement européen sur l&apos;intelligence artificielle (Règlement (UE) 2024/1689)</w:t></w:r></w:p></w:tc></w:tr><w:tr><w:tc><w:tcPr><w:tcW w:type="dxa" w:w="300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ÉIVP / PIA</w:t></w:r></w:p></w:tc><w:tc><w:tcPr><w:tcW w:type="dxa" w:w="636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Évaluation des impacts sur la vie privée / Privacy Impact Assessment</w:t></w:r></w:p></w:tc></w:tr><w:tr><w:tc><w:tcPr><w:tcW w:type="dxa" w:w="300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Explicabilité</w:t></w:r></w:p></w:tc><w:tc><w:tcPr><w:tcW w:type="dxa" w:w="636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Capacité à expliquer de manière compréhensible le fonctionnement et les décisions d&apos;un système d&apos;IA</w:t></w:r></w:p></w:tc></w:tr><w:tr><w:tc><w:tcPr><w:tcW w:type="dxa" w:w="300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Traitement</w:t></w:r></w:p></w:tc><w:tc><w:tcPr><w:tcW w:type="dxa" w:w="636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Toute opération effectuée sur des données personnelles</w:t></w:r></w:p></w:tc></w:tr><w:tr><w:tc><w:tcPr><w:tcW w:type="dxa" w:w="300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Donnée personnelle</w:t></w:r></w:p></w:tc><w:tc><w:tcPr><w:tcW w:type="dxa" w:w="636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Information permettant directement ou indirectement identifier une personne</w:t></w:r></w:p></w:tc></w:tr><w:tr><w:tc><w:tcPr><w:tcW w:type="dxa" w:w="300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Finalité</w:t></w:r></w:p></w:tc><w:tc><w:tcPr><w:tcW w:type="dxa" w:w="6360"/><w:tcBorders><w:top w:val="single" w:color="CCCCCC" w:sz="1"/><w:left w:val="single" w:color="CCCCCC" w:sz="1"/><w:bottom w:val="single" w:color="CCCCCC" w:sz="1"/><w:right w:val="single" w:color="CCCCCC" w:sz="1"/></w:tcBorders><w:tcMar><w:top w:type="dxa" w:w="60"/><w:left w:type="dxa" w:w="100"/><w:bottom w:type="dxa" w:w="60"/><w:right w:type="dxa" w:w="100"/></w:tcMar><w:vAlign w:val="center"/></w:tcPr><w:p><w:pPr><w:spacing w:after="0"/></w:pPr><w:r><w:rPr><w:rFonts w:ascii="Arial" w:cs="Arial" w:eastAsia="Arial" w:hAnsi="Arial"/><w:sz w:val="18"/><w:szCs w:val="18"/></w:rPr><w:t xml:space="preserve">Objectif déclaré pour lequel les données sont collectées</w:t></w:r></w:p></w:tc></w:tr></w:tbl><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Politique de confidentialité des données et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2026-03-05T02:27:12.116Z</dcterms:created>
  <dcterms:modified xsi:type="dcterms:W3CDTF">2026-03-05T02:27:12.116Z</dcterms:modified>
</cp:coreProperties>
</file>

<file path=docProps/custom.xml><?xml version="1.0" encoding="utf-8"?>
<Properties xmlns="http://schemas.openxmlformats.org/officeDocument/2006/custom-properties" xmlns:vt="http://schemas.openxmlformats.org/officeDocument/2006/docPropsVTypes"/>
</file>