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Évaluation d&apos;impact sur la vie privée (EIVP/PIA)</w:t></w:r></w:p><w:p><w:pPr><w:spacing w:after="600"/><w:jc w:val="center"/></w:pPr><w:r><w:rPr><w:rFonts w:ascii="Arial" w:cs="Arial" w:eastAsia="Arial" w:hAnsi="Arial"/><w:color w:val="2E75B6"/><w:sz w:val="24"/><w:szCs w:val="24"/></w:rPr><w:t xml:space="preserve">Template complet pour l&apos;évaluation des risques à la vie privée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Introduction à l&apos;EIVP/PIA</w:t></w:r></w:p><w:p><w:r><w:rPr><w:rFonts w:ascii="Arial" w:cs="Arial" w:eastAsia="Arial" w:hAnsi="Arial"/><w:color w:val="404040"/><w:sz w:val="22"/><w:szCs w:val="22"/></w:rPr><w:t xml:space="preserve">Une Évaluation d&apos;Impact sur la Vie Privée (EIVP) ou Privacy Impact Assessment (PIA) est un processus structuré d&apos;identification et d&apos;évaluation des risques aux droits et libertés des personnes concernées par un traitement de données personnelles, particulièrement dans le contexte des systèmes d&apos;intelligence artificielle.</w:t></w:r></w:p><w:p><w:pPr><w:pStyle w:val="Heading2"/></w:pPr><w:r><w:t xml:space="preserve">1.1 Objectifs de l&apos;EIVP</w:t></w:r></w:p><0/><w:p><w:pPr><w:pStyle w:val="Heading1"/></w:pPr><w:r><w:t xml:space="preserve">2. Principes de l&apos;EIVP pour systèmes d&apos;IA</w:t></w:r></w:p><w:p><w:pPr><w:pStyle w:val="Heading2"/></w:pPr><w:r><w:t xml:space="preserve">2.1 Respect de la vie privée par conception</w:t></w:r></w:p><w:p><w:r><w:rPr><w:rFonts w:ascii="Arial" w:cs="Arial" w:eastAsia="Arial" w:hAnsi="Arial"/><w:color w:val="404040"/><w:sz w:val="22"/><w:szCs w:val="22"/></w:rPr><w:t xml:space="preserve">La protection de la vie privée doit être intégrée dès les phases initiales de conception du système d&apos;IA, et pas ajoutée après coup comme mesure de conformité.</w:t></w:r></w:p><w:p><w:pPr><w:pStyle w:val="Heading2"/></w:pPr><w:r><w:t xml:space="preserve">2.2 Transparence envers les individus</w:t></w:r></w:p><w:p><w:r><w:rPr><w:rFonts w:ascii="Arial" w:cs="Arial" w:eastAsia="Arial" w:hAnsi="Arial"/><w:color w:val="404040"/><w:sz w:val="22"/><w:szCs w:val="22"/></w:rPr><w:t xml:space="preserve">Les personnes dont les données alimentent le système doivent être informées clairement du traitement, des finalités et de leurs droits.</w:t></w:r></w:p><w:p><w:pPr><w:pStyle w:val="Heading2"/></w:pPr><w:r><w:t xml:space="preserve">2.3 Responsabilité et traçabilité</w:t></w:r></w:p><w:p><w:r><w:rPr><w:rFonts w:ascii="Arial" w:cs="Arial" w:eastAsia="Arial" w:hAnsi="Arial"/><w:color w:val="404040"/><w:sz w:val="22"/><w:szCs w:val="22"/></w:rPr><w:t xml:space="preserve">L&apos;organisation doit être capable de démontrer à tout moment sa conformité et les mesures de protection implémentées.</w:t></w:r></w:p><w:p><w:pPr><w:pStyle w:val="Heading1"/></w:pPr><w:r><w:t xml:space="preserve">3. Template de questionnaire EIVP</w:t></w:r></w:p><w:p><w:pPr><w:pStyle w:val="Heading2"/></w:pPr><w:r><w:t xml:space="preserve">3.1 Section A - Description du système d&apos;IA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5B6" w:sz="2"/><w:left w:val="single" w:color="2E75B6" w:sz="8"/><w:bottom w:val="single" w:color="2E75B6" w:sz="2"/><w:right w:val="single" w:color="2E75B6" w:sz="2"/></w:tcBorders><w:shd w:fill="D5E8F0" w:val="clear"/><w:tcMar><w:top w:type="dxa" w:w="100"/><w:left w:type="dxa" w:w="200"/><w:bottom w:type="dxa" w:w="100"/><w:right w:type="dxa" w:w="200"/></w:tcMar></w:tcPr><w:p><w:pPr><w:spacing w:after="60"/></w:pPr><w:r><w:rPr><w:rFonts w:ascii="Arial" w:cs="Arial" w:eastAsia="Arial" w:hAnsi="Arial"/><w:b/><w:bCs/><w:color w:val="1B3A5C"/><w:sz w:val="20"/><w:szCs w:val="20"/></w:rPr><w:t xml:space="preserve">Information obligatoire à collecter</w:t></w:r></w:p><w:p><w:pPr><w:spacing w:after="0"/></w:pPr><w:r><w:rPr><w:rFonts w:ascii="Arial" w:cs="Arial" w:eastAsia="Arial" w:hAnsi="Arial"/><w:color w:val="404040"/><w:sz w:val="20"/><w:szCs w:val="20"/></w:rPr><w:t xml:space="preserve">Remplir cette section avant de procéder aux autres étapes de l&apos;EIVP</w:t></w:r></w:p></w:tc></w:tr></w:tbl><0/><w:p><w:pPr><w:pStyle w:val="Heading2"/></w:pPr><w:r><w:t xml:space="preserve">3.2 Section B - Catégories de données personnelles</w:t></w:r></w:p><w:p><w:r><w:rPr><w:rFonts w:ascii="Arial" w:cs="Arial" w:eastAsia="Arial" w:hAnsi="Arial"/><w:color w:val="404040"/><w:sz w:val="22"/><w:szCs w:val="22"/></w:rPr><w:t xml:space="preserve">Identifier toutes les catégories de données personnelles utilisées: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1400"/><w:gridCol w:w="2500"/><w:gridCol w:w="146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Catégorie de données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Sensible?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Volume estimé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Durée de rétention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d&apos;identification (nom, email, ID)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[NOMBRE]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[PERIODE]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de localisation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Peut être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[NOMBRE]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[PERIODE]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comportementales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[NOMBRE]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[PERIODE]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de santé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Oui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[NOMBRE]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[PERIODE]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biométriques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Oui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[NOMBRE]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[PERIODE]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financières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Oui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[NOMBRE]</w:t></w:r></w:p></w:tc><w:tc><w:tcPr><w:tcW w:type="dxa" w:w="1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[PERIODE]</w:t></w:r></w:p></w:tc></w:tr></w:tbl><w:p><w:pPr><w:pStyle w:val="Heading2"/></w:pPr><w:r><w:t xml:space="preserve">3.3 Section C - Bases légales et consentement</w:t></w:r></w:p><0/><w:p><w:pPr><w:pStyle w:val="Heading2"/></w:pPr><w:r><w:t xml:space="preserve">3.4 Section D - Personnes concernées</w:t></w:r></w:p><0/><w:p><w:pPr><w:pStyle w:val="Heading1"/></w:pPr><w:r><w:t xml:space="preserve">4. Évaluation des risques</w:t></w:r></w:p><w:p><w:pPr><w:pStyle w:val="Heading2"/></w:pPr><w:r><w:t xml:space="preserve">4.1 Matrice de risques</w:t></w:r></w:p><w:p><w:r><w:rPr><w:rFonts w:ascii="Arial" w:cs="Arial" w:eastAsia="Arial" w:hAnsi="Arial"/><w:color w:val="404040"/><w:sz w:val="22"/><w:szCs w:val="22"/></w:rPr><w:t xml:space="preserve">Pour chaque risque identifié, évaluer la probabilité (faible/moyen/élevé) et l&apos;impact (faible/moyen/élevé):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1400"/><w:gridCol w:w="1400"/><w:gridCol w:w="140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Risque potentiel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Probabilité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Impact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Niveau de risque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non autorisé aux données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Divulgation accidentelle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 discriminatoire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Inférence de données sensibles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Retention excessive de données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Élevé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MOYEN</w:t></w:r></w:p></w:tc></w:tr></w:tbl><w:p><w:pPr><w:pStyle w:val="Heading2"/></w:pPr><w:r><w:t xml:space="preserve">4.2 Risques spécifiques aux systèmes d&apos;IA</w:t></w:r></w:p><0/><w:p><w:pPr><w:pStyle w:val="Heading1"/></w:pPr><w:r><w:t xml:space="preserve">5. Mesures de mitigation</w:t></w:r></w:p><w:p><w:pPr><w:pStyle w:val="Heading2"/></w:pPr><w:r><w:t xml:space="preserve">5.1 Mesures techniques</w:t></w:r></w:p><0/><w:p><w:pPr><w:pStyle w:val="Heading2"/></w:pPr><w:r><w:t xml:space="preserve">5.2 Mesures organisationnelles</w:t></w:r></w:p><0/><w:p><w:pPr><w:pStyle w:val="Heading2"/></w:pPr><w:r><w:t xml:space="preserve">5.3 Mesures procédurales</w:t></w:r></w:p><0/><w:p><w:pPr><w:pStyle w:val="Heading1"/></w:pPr><w:r><w:t xml:space="preserve">6. Approbation et suivi</w:t></w:r></w:p><w:p><w:pPr><w:pStyle w:val="Heading2"/></w:pPr><w:r><w:t xml:space="preserve">6.1 Validation de l&apos;EIVP</w:t></w:r></w:p><w:p><w:r><w:rPr><w:rFonts w:ascii="Arial" w:cs="Arial" w:eastAsia="Arial" w:hAnsi="Arial"/><w:color w:val="404040"/><w:sz w:val="22"/><w:szCs w:val="22"/></w:rPr><w:t xml:space="preserve">L&apos;EIVP doit être approuvée par le DPO et le responsable IA avant déploiement du système d&apos;IA en production.</w:t></w:r></w:p><w:p><w:pPr><w:pStyle w:val="Heading2"/></w:pPr><w:r><w:t xml:space="preserve">6.2 Suivi continu</w:t></w:r></w:p><w:p><w:r><w:rPr><w:rFonts w:ascii="Arial" w:cs="Arial" w:eastAsia="Arial" w:hAnsi="Arial"/><w:color w:val="404040"/><w:sz w:val="22"/><w:szCs w:val="22"/></w:rPr><w:t xml:space="preserve">Un suivi annuel de l&apos;EIVP est requis pour évaluer si les risques ont changé ou si de nouveaux risques ont émergé.</w:t></w:r></w:p><w:p><w:pPr><w:pStyle w:val="Heading1"/></w:pPr><w:r><w:t xml:space="preserve">7. Documentation et communication</w:t></w:r></w:p><w:p><w:r><w:rPr><w:rFonts w:ascii="Arial" w:cs="Arial" w:eastAsia="Arial" w:hAnsi="Arial"/><w:color w:val="404040"/><w:sz w:val="22"/><w:szCs w:val="22"/></w:rPr><w:t xml:space="preserve">L&apos;EIVP complète doit être documentée et conservée dans les archives de conformité. Les résultats doivent être communiqués au Comité de gouvernance IA et au responsable de la protection des données.</w:t></w:r></w:p><w:p><w:pPr><w:pStyle w:val="Heading1"/></w:pPr><w:r><w:t xml:space="preserve">Cadre de référence</w:t></w:r></w:p><w:p><w:r><w:rPr><w:rFonts w:ascii="Arial" w:cs="Arial" w:eastAsia="Arial" w:hAnsi="Arial"/><w:color w:val="404040"/><w:sz w:val="22"/><w:szCs w:val="22"/></w:rPr><w:t xml:space="preserve">Le présent document s&apos;appuie sur les normes, lois et cadres de référence suivants :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ISO/IEC 42001:2023 - Système de management de l&apos;intelligence artificielle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ISO/IEC 23894:2023 - Lignes directrices sur la gestion des risques liés à l&apos;IA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NIST AI Risk Management Framework (AI RMF 1.0)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Loi 25 - Loi modernisant des dispositions législatives en matière de protection des renseignements personnels (Québec)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Projet de loi C-27 - Loi sur l&apos;intelligence artificielle et les données (LIAD) (Canada)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Charte des droits et libertés de la personne du Québec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Code civil du Québec - Responsabilité civile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Recommandations du Conseil de l&apos;innovation du Québec</w:t></w:r></w:p><w:p><w:pPr><w:spacing w:before="1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5B6" w:sz="2"/><w:left w:val="single" w:color="2E75B6" w:sz="8"/><w:bottom w:val="single" w:color="2E75B6" w:sz="2"/><w:right w:val="single" w:color="2E75B6" w:sz="2"/></w:tcBorders><w:shd w:fill="D5E8F0" w:val="clear"/><w:tcMar><w:top w:type="dxa" w:w="100"/><w:left w:type="dxa" w:w="200"/><w:bottom w:type="dxa" w:w="100"/><w:right w:type="dxa" w:w="200"/></w:tcMar></w:tcPr><w:p><w:pPr><w:spacing w:after="60"/></w:pPr><w:r><w:rPr><w:rFonts w:ascii="Arial" w:cs="Arial" w:eastAsia="Arial" w:hAnsi="Arial"/><w:b/><w:bCs/><w:color w:val="1B3A5C"/><w:sz w:val="20"/><w:szCs w:val="20"/></w:rPr><w:t xml:space="preserve">Note sur le cadre juridique québécois</w:t></w:r></w:p><w:p><w:pPr><w:spacing w:after="0"/></w:pPr><w:r><w:rPr><w:rFonts w:ascii="Arial" w:cs="Arial" w:eastAsia="Arial" w:hAnsi="Arial"/><w:color w:val="404040"/><w:sz w:val="20"/><w:szCs w:val="20"/></w:rPr><w:t xml:space="preserve">Les organisations opérant au Québec sont assujetties à la Loi 25 (protection des renseignements personnels), à la législation fédérale canadienne (C-27/LIAD en cours d&apos;adoption), ainsi qu&apos;au Règlement européen sur l&apos;IA (EU AI Act) si elles traitent des données de résidents de l&apos;UE. Le présent document intègre ces exigences de manière harmonisée.</w:t></w:r></w:p></w:tc></w:tr></w:tbl><w:p><w:pPr><w:spacing w:before="200"/></w:pPr></w:p><w:p><w:pPr><w:pStyle w:val="Heading1"/></w:pPr><w:r><w:t xml:space="preserve">Rôles et responsabilités</w:t></w:r></w:p><w:p><w:r><w:rPr><w:rFonts w:ascii="Arial" w:cs="Arial" w:eastAsia="Arial" w:hAnsi="Arial"/><w:color w:val="404040"/><w:sz w:val="22"/><w:szCs w:val="22"/></w:rPr><w:t xml:space="preserve">Les rôles et responsabilités suivants sont définis dans le cadre du présent document 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Rôle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Responsabilités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Direction générale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Approuve la stratégie IA et alloue les ressources nécessaires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Comité de gouvernance 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Supervise la mise en œuvre des politiques et prend les décisions stratégiques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Responsable IA / Chief AI Officer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Coordonne les initiatives IA et assure la conformité opérationnelle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Responsable de la protection des renseignements personnels (DPO)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Veille au respect de la Loi 25 et des obligations de confidentialité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Direction des technologies de l&apos;information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Assure la sécurité, l&apos;infrastructure et le support technique des systèmes 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Gestionnaires de département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Encadrent l&apos;utilisation de l&apos;IA dans leurs équipes respectives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des employés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Respectent les politiques et signalent les incidents ou préoccupations</w:t></w:r></w:p></w:tc></w:tr></w:tbl><w:p><w:pPr><w:spacing w:before="200"/></w:pPr></w:p><w:p><w:pPr><w:pStyle w:val="Heading1"/></w:pPr><w:r><w:t xml:space="preserve">Mise en œuvre</w:t></w:r></w:p><w:p><w:r><w:rPr><w:rFonts w:ascii="Arial" w:cs="Arial" w:eastAsia="Arial" w:hAnsi="Arial"/><w:color w:val="404040"/><w:sz w:val="22"/><w:szCs w:val="22"/></w:rPr><w:t xml:space="preserve">La mise en œuvre du présent document suit les étapes suivantes 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5200"/><w:gridCol w:w="16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Phase</w:t></w:r></w:p></w:tc><w:tc><w:tcPr><w:tcW w:type="dxa" w:w="52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Description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Échéance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Phase 1 - Planification</w:t></w:r></w:p></w:tc><w:tc><w:tcPr><w:tcW w:type="dxa" w:w="5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Définir le périmètre, constituer l&apos;équipe, établir le calendrier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[DATE_DÉBUT_PHASE1]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Phase 2 - Développement</w:t></w:r></w:p></w:tc><w:tc><w:tcPr><w:tcW w:type="dxa" w:w="5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Rédiger le contenu détaillé, consulter les parties prenantes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[DATE_DÉBUT_PHASE2]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Phase 3 - Validation</w:t></w:r></w:p></w:tc><w:tc><w:tcPr><w:tcW w:type="dxa" w:w="5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Réviser, obtenir les approbations, tester auprès d&apos;un groupe pilote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[DATE_DÉBUT_PHASE3]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Phase 4 - Déploiement</w:t></w:r></w:p></w:tc><w:tc><w:tcPr><w:tcW w:type="dxa" w:w="5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Communiquer, former, mettre en œuvre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[DATE_DÉBUT_PHASE4]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Phase 5 - Suivi</w:t></w:r></w:p></w:tc><w:tc><w:tcPr><w:tcW w:type="dxa" w:w="5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Évaluer l&apos;efficacité, ajuster, améliorer en continu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[DATE_DÉBUT_PHASE5]</w:t></w:r></w:p></w:tc></w:tr></w:tbl><w:p><w:pPr><w:spacing w:before="200"/></w:pPr></w:p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EIVP/PIA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d&apos;Impact sur la Vie Privée - processus d&apos;évaluation des risques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d&apos;un modèle IA à favoriser ou discriminer certains groupes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Anonymisation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Suppression irréversible de l&apos;identité d&apos;une personne dans les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Pseudonymisation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Remplacement du nom par un pseudonyme tout en conservant des liens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Évaluation d'impact sur la vie privée (EIVP/PIA)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2026-03-05T02:27:12.139Z</dcterms:created>
  <dcterms:modified xsi:type="dcterms:W3CDTF">2026-03-05T02:27:12.139Z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