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before="4000"/></w:pPr></w:p><w:p><w:pPr><w:spacing w:after="200"/><w:jc w:val="center"/></w:pPr><w:r><w:rPr><w:rFonts w:ascii="Arial" w:cs="Arial" w:eastAsia="Arial" w:hAnsi="Arial"/><w:color w:val="666666"/><w:sz w:val="28"/><w:szCs w:val="28"/></w:rPr><w:t xml:space="preserve">[NOM_ORGANISATION]</w:t></w:r></w:p><w:p><w:pPr><w:pBdr><w:bottom w:val="single" w:color="2E75B6" w:sz="8" w:space="8"/></w:pBdr><w:spacing w:after="100"/><w:jc w:val="center"/></w:pPr><w:r><w:rPr><w:sz w:val="8"/><w:szCs w:val="8"/></w:rPr><w:t xml:space="preserve"> </w:t></w:r></w:p><w:p><w:pPr><w:spacing w:after="200" w:before="400"/><w:jc w:val="center"/></w:pPr><w:r><w:rPr><w:rFonts w:ascii="Arial" w:cs="Arial" w:eastAsia="Arial" w:hAnsi="Arial"/><w:b/><w:bCs/><w:color w:val="1B3A5C"/><w:sz w:val="48"/><w:szCs w:val="48"/></w:rPr><w:t xml:space="preserve">Classification des données IA</w:t></w:r></w:p><w:p><w:pPr><w:spacing w:after="600"/><w:jc w:val="center"/></w:pPr><w:r><w:rPr><w:rFonts w:ascii="Arial" w:cs="Arial" w:eastAsia="Arial" w:hAnsi="Arial"/><w:color w:val="2E75B6"/><w:sz w:val="24"/><w:szCs w:val="24"/></w:rPr><w:t xml:space="preserve">Cadre de classification et de traitement des données selon leur niveau de sensibilité</w:t></w:r></w:p><w:p><w:pPr><w:pBdr><w:top w:val="single" w:color="2E75B6" w:sz="8" w:space="8"/></w:pBdr><w:spacing w:after="100"/><w:jc w:val="center"/></w:pPr><w:r><w:rPr><w:sz w:val="8"/><w:szCs w:val="8"/></w:rPr><w:t xml:space="preserve"> 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6360"/></w:tblGrid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1B3A5C"/><w:sz w:val="20"/><w:szCs w:val="20"/></w:rPr><w:t xml:space="preserve">Version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20"/><w:szCs w:val="20"/></w:rPr><w:t xml:space="preserve">[VERSION]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1B3A5C"/><w:sz w:val="20"/><w:szCs w:val="20"/></w:rPr><w:t xml:space="preserve">Date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20"/><w:szCs w:val="20"/></w:rPr><w:t xml:space="preserve">[DATE_DOCUMENT]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1B3A5C"/><w:sz w:val="20"/><w:szCs w:val="20"/></w:rPr><w:t xml:space="preserve">Classification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20"/><w:szCs w:val="20"/></w:rPr><w:t xml:space="preserve">Confidentiel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1B3A5C"/><w:sz w:val="20"/><w:szCs w:val="20"/></w:rPr><w:t xml:space="preserve">Responsable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20"/><w:szCs w:val="20"/></w:rPr><w:t xml:space="preserve">[RESPONSABLE_DOCUMENT]</w:t></w:r></w:p></w:tc></w:tr></w:tbl><w:p><w:r><w:br w:type="page"/></w:r></w:p><w:p><w:pPr><w:sectPr><w:pgSz w:w="12240" w:h="15840" w:orient="portrait"/><w:pgMar w:top="1440" w:right="1440" w:bottom="1440" w:left="1440" w:header="708" w:footer="708" w:gutter="0"/><w:pgNumType/><w:docGrid w:linePitch="360"/></w:sectPr></w:pPr></w:p><w:sdt><w:sdtPr><w:alias w:val="Table des matières"/></w:sdtPr><w:sdtContent><w:p><w:r><w:fldChar w:fldCharType="begin" w:dirty="true"/><w:instrText xml:space="preserve">TOC \h \o &quot;1-3&quot;</w:instrText><w:fldChar w:fldCharType="separate"/></w:r></w:p><w:p><w:r><w:fldChar w:fldCharType="end"/></w:r></w:p></w:sdtContent></w:sdt><w:p><w:r><w:br w:type="page"/></w:r></w:p><w:p><w:pPr><w:pStyle w:val="Heading1"/></w:pPr><w:r><w:t xml:space="preserve">Contrôle du document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340"/><w:gridCol w:w="2340"/><w:gridCol w:w="2340"/><w:gridCol w:w="2340"/></w:tblGrid><w:tr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Élément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Nom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Fonction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Date</w:t></w:r></w:p></w:tc></w:tr><w:tr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Auteur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[NOM_AUTEUR]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[FONCTION_AUTEUR]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[DATE_CRÉATION]</w:t></w:r></w:p></w:tc></w:tr><w:tr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Réviseur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[NOM_RÉVISEUR]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[FONCTION_RÉVISEUR]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[DATE_RÉVISION]</w:t></w:r></w:p></w:tc></w:tr><w:tr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Approbateur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[NOM_APPROBATEUR]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[FONCTION_APPROBATEUR]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[DATE_APPROBATION]</w:t></w:r></w:p></w:tc></w:tr></w:tbl><w:p><w:pPr><w:spacing w:before="200"/></w:pPr></w:p><w:p><w:pPr><w:pStyle w:val="Heading2"/></w:pPr><w:r><w:t xml:space="preserve">Historique des versions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340"/><w:gridCol w:w="2340"/><w:gridCol w:w="2340"/><w:gridCol w:w="2340"/></w:tblGrid><w:tr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Version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Date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Auteur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Description des modifications</w:t></w:r></w:p></w:tc></w:tr><w:tr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1.0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[DATE_CRÉATION]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[NOM_AUTEUR]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Création initiale du document</w:t></w:r></w:p></w:tc></w:tr><w:tr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</w:t></w:r></w:p></w:tc></w:tr></w:tbl><w:p><w:r><w:br w:type="page"/></w:r></w:p><w:p><w:pPr><w:pStyle w:val="Heading1"/></w:pPr><w:r><w:t xml:space="preserve">1. Objectif et portée</w:t></w:r></w:p><w:p><w:r><w:rPr><w:rFonts w:ascii="Arial" w:cs="Arial" w:eastAsia="Arial" w:hAnsi="Arial"/><w:color w:val="404040"/><w:sz w:val="22"/><w:szCs w:val="22"/></w:rPr><w:t xml:space="preserve">La présente politique établit un cadre unifié de classification des données utilisées par [NOM_ORGANISATION] dans ses systèmes d&apos;intelligence artificielle. Elle définit les niveaux de classification, les critères d&apos;attribution, les mesures de protection associées et les obligations des utilisateurs.</w:t></w:r></w:p><w:p><w:pPr><w:pStyle w:val="Heading2"/></w:pPr><w:r><w:t xml:space="preserve">1.1 Objectifs</w:t></w:r></w:p><0/><w:p><w:pPr><w:pStyle w:val="Heading1"/></w:pPr><w:r><w:t xml:space="preserve">2. Niveaux de classification</w:t></w:r></w:p><w:p><w:pPr><w:pStyle w:val="Heading2"/></w:pPr><w:r><w:t xml:space="preserve">2.1 Niveau 1 - Données publiques</w:t></w:r></w:p><w:p><w:r><w:rPr><w:rFonts w:ascii="Arial" w:cs="Arial" w:eastAsia="Arial" w:hAnsi="Arial"/><w:color w:val="404040"/><w:sz w:val="22"/><w:szCs w:val="22"/></w:rPr><w:t xml:space="preserve">Données sans restriction d&apos;accès ou de divulgation. Leur exposition n&apos;entraîne aucun impact négatif sur l&apos;organisation ou les individus.</w:t></w:r></w:p><0/><w:p><w:pPr><w:pStyle w:val="Heading2"/></w:pPr><w:r><w:t xml:space="preserve">2.2 Niveau 2 - Données internes</w:t></w:r></w:p><w:p><w:r><w:rPr><w:rFonts w:ascii="Arial" w:cs="Arial" w:eastAsia="Arial" w:hAnsi="Arial"/><w:color w:val="404040"/><w:sz w:val="22"/><w:szCs w:val="22"/></w:rPr><w:t xml:space="preserve">Données destinées à l&apos;usage interne de [NOM_ORGANISATION]. Leur divulgation pourrait causer un préjudice mineur à l&apos;organisation (avantage concurrentiel limité, information stratégique non critique).</w:t></w:r></w:p><0/><w:p><w:pPr><w:pStyle w:val="Heading2"/></w:pPr><w:r><w:t xml:space="preserve">2.3 Niveau 3 - Données confidentielles</w:t></w:r></w:p><w:p><w:r><w:rPr><w:rFonts w:ascii="Arial" w:cs="Arial" w:eastAsia="Arial" w:hAnsi="Arial"/><w:color w:val="404040"/><w:sz w:val="22"/><w:szCs w:val="22"/></w:rPr><w:t xml:space="preserve">Données critiques pour l&apos;organisation. Leur divulgation non autorisée entraînerait un préjudice significatif (perte financière, avantage concurrentiel majeur, violation contractuelle).</w:t></w:r></w:p><0/><w:p><w:pPr><w:pStyle w:val="Heading2"/></w:pPr><w:r><w:t xml:space="preserve">2.4 Niveau 4 - Données hautement sensibles</w:t></w:r></w:p><w:p><w:r><w:rPr><w:rFonts w:ascii="Arial" w:cs="Arial" w:eastAsia="Arial" w:hAnsi="Arial"/><w:color w:val="404040"/><w:sz w:val="22"/><w:szCs w:val="22"/></w:rPr><w:t xml:space="preserve">Données dont la divulgation causerait un préjudice grave et immédiat, notamment les données personnelles sensibles et les données soumises à des obligations légales spécifiques.</w:t></w:r></w:p><0/><w:p><w:pPr><w:pStyle w:val="Heading1"/></w:pPr><w:r><w:t xml:space="preserve">3. Critères d&apos;attribution de la classification</w:t></w:r></w:p><w:p><w:pPr><w:pStyle w:val="Heading2"/></w:pPr><w:r><w:t xml:space="preserve">3.1 Matrice de classification</w:t></w:r></w:p><w:p><w:r><w:rPr><w:rFonts w:ascii="Arial" w:cs="Arial" w:eastAsia="Arial" w:hAnsi="Arial"/><w:color w:val="404040"/><w:sz w:val="22"/><w:szCs w:val="22"/></w:rPr><w:t xml:space="preserve">La classification est déterminée selon les critères suivants: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500"/><w:gridCol w:w="1500"/><w:gridCol w:w="1500"/><w:gridCol w:w="1500"/><w:gridCol w:w="1860"/></w:tblGrid><w:tr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b/><w:bCs/><w:color w:val="FFFFFF"/><w:sz w:val="18"/><w:szCs w:val="18"/></w:rPr><w:t xml:space="preserve">Critère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b/><w:bCs/><w:color w:val="FFFFFF"/><w:sz w:val="18"/><w:szCs w:val="18"/></w:rPr><w:t xml:space="preserve">Niveau 1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b/><w:bCs/><w:color w:val="FFFFFF"/><w:sz w:val="18"/><w:szCs w:val="18"/></w:rPr><w:t xml:space="preserve">Niveau 2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b/><w:bCs/><w:color w:val="FFFFFF"/><w:sz w:val="18"/><w:szCs w:val="18"/></w:rPr><w:t xml:space="preserve">Niveau 3</w:t></w:r></w:p></w:tc><w:tc><w:tcPr><w:tcW w:type="dxa" w:w="186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b/><w:bCs/><w:color w:val="FFFFFF"/><w:sz w:val="18"/><w:szCs w:val="18"/></w:rPr><w:t xml:space="preserve">Niveau 4</w:t></w:r></w:p></w:tc></w:tr><w:tr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Impact financier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Aucun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&lt; 100k CAD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100k - 1M CAD</w:t></w:r></w:p></w:tc><w:tc><w:tcPr><w:tcW w:type="dxa" w:w="18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&gt; 1M CAD</w:t></w:r></w:p></w:tc></w:tr><w:tr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Impact réputationnel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Aucun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Mineur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Significatif</w:t></w:r></w:p></w:tc><w:tc><w:tcPr><w:tcW w:type="dxa" w:w="18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Grave</w:t></w:r></w:p></w:tc></w:tr><w:tr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Données personnelles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Non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Anonymes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Identifiées</w:t></w:r></w:p></w:tc><w:tc><w:tcPr><w:tcW w:type="dxa" w:w="18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Sensibles</w:t></w:r></w:p></w:tc></w:tr><w:tr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Obligation légale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Non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Mineure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Significative</w:t></w:r></w:p></w:tc><w:tc><w:tcPr><w:tcW w:type="dxa" w:w="18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Critique</w:t></w:r></w:p></w:tc></w:tr><w:tr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Accès utilisateurs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Public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&gt; 50 personnes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10-50 personnes</w:t></w:r></w:p></w:tc><w:tc><w:tcPr><w:tcW w:type="dxa" w:w="18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&lt; 10 personnes</w:t></w:r></w:p></w:tc></w:tr></w:tbl><w:p><w:pPr><w:pStyle w:val="Heading2"/></w:pPr><w:r><w:t xml:space="preserve">3.2 Processus de classification</w:t></w:r></w:p><0/><w:p><w:pPr><w:pStyle w:val="Heading1"/></w:pPr><w:r><w:t xml:space="preserve">4. Traitements par niveau de classification</w:t></w:r></w:p><w:p><w:pPr><w:pStyle w:val="Heading2"/></w:pPr><w:r><w:t xml:space="preserve">4.1 Donnees d&apos;entraînement (Niveau 3 - 4)</w:t></w:r></w:p><0/><w:p><w:pPr><w:pStyle w:val="Heading2"/></w:pPr><w:r><w:t xml:space="preserve">4.2 Donnees de validation et test</w:t></w:r></w:p><0/><w:p><w:pPr><w:pStyle w:val="Heading2"/></w:pPr><w:r><w:t xml:space="preserve">4.3 Donnees en production</w:t></w:r></w:p><0/><w:p><w:pPr><w:pStyle w:val="Heading1"/></w:pPr><w:r><w:t xml:space="preserve">5. Etiquetage et marquage des données</w:t></w:r></w:p><w:p><w:pPr><w:pStyle w:val="Heading2"/></w:pPr><w:r><w:t xml:space="preserve">5.1 Etiquetage automatique</w:t></w:r></w:p><0/><w:p><w:pPr><w:pStyle w:val="Heading2"/></w:pPr><w:r><w:t xml:space="preserve">5.2 Etiquetage manuel</w:t></w:r></w:p><0/><w:p><w:pPr><w:pStyle w:val="Heading1"/></w:pPr><w:r><w:t xml:space="preserve">6. Reclassification et révision</w:t></w:r></w:p><w:p><w:r><w:rPr><w:rFonts w:ascii="Arial" w:cs="Arial" w:eastAsia="Arial" w:hAnsi="Arial"/><w:color w:val="404040"/><w:sz w:val="22"/><w:szCs w:val="22"/></w:rPr><w:t xml:space="preserve">La classification est réexaminée:</w:t></w:r></w:p><0/><w:p><w:pPr><w:pStyle w:val="Heading1"/></w:pPr><w:r><w:t xml:space="preserve">7. Gestion des transitions de classification</w:t></w:r></w:p><w:p><w:pPr><w:pStyle w:val="Heading2"/></w:pPr><w:r><w:t xml:space="preserve">7.1 Passage d&apos;un niveau inferieur à superieur</w:t></w:r></w:p><w:p><w:r><w:rPr><w:rFonts w:ascii="Arial" w:cs="Arial" w:eastAsia="Arial" w:hAnsi="Arial"/><w:color w:val="404040"/><w:sz w:val="22"/><w:szCs w:val="22"/></w:rPr><w:t xml:space="preserve">Approbation du [RESPONSABLE_IA] requise. Des mesures de protection renforcées sont mises en place immédiatement.</w:t></w:r></w:p><w:p><w:pPr><w:pStyle w:val="Heading2"/></w:pPr><w:r><w:t xml:space="preserve">7.2 Passage d&apos;un niveau superieur à inferieur</w:t></w:r></w:p><w:p><w:r><w:rPr><w:rFonts w:ascii="Arial" w:cs="Arial" w:eastAsia="Arial" w:hAnsi="Arial"/><w:color w:val="404040"/><w:sz w:val="22"/><w:szCs w:val="22"/></w:rPr><w:t xml:space="preserve">Approbation du DPO et audit complet requis. Documentation des justifications et preuves que le niveau inférieur est approprié.</w:t></w:r></w:p><w:p><w:pPr><w:pStyle w:val="Heading1"/></w:pPr><w:r><w:t xml:space="preserve">8. Obligations des utilisateurs</w:t></w:r></w:p><0/><w:p><w:pPr><w:pStyle w:val="Heading1"/></w:pPr><w:r><w:t xml:space="preserve">9. Monitoring et audit</w:t></w:r></w:p><w:p><w:r><w:rPr><w:rFonts w:ascii="Arial" w:cs="Arial" w:eastAsia="Arial" w:hAnsi="Arial"/><w:color w:val="404040"/><w:sz w:val="22"/><w:szCs w:val="22"/></w:rPr><w:t xml:space="preserve">Un audit trimestriel vérifie:</w:t></w:r></w:p><0/><w:p><w:pPr><w:pStyle w:val="Heading1"/></w:pPr><w:r><w:t xml:space="preserve">10. Formation et sensibilisation</w:t></w:r></w:p><w:p><w:r><w:rPr><w:rFonts w:ascii="Arial" w:cs="Arial" w:eastAsia="Arial" w:hAnsi="Arial"/><w:color w:val="404040"/><w:sz w:val="22"/><w:szCs w:val="22"/></w:rPr><w:t xml:space="preserve">Tous les utilisateurs reçoivent une formation obligatoire annuelle sur:</w:t></w:r></w:p><0/><w:p><w:pPr><w:pStyle w:val="Heading1"/></w:pPr><w:r><w:t xml:space="preserve">Révision et gouvernance</w:t></w:r></w:p><w:p><w:r><w:rPr><w:rFonts w:ascii="Arial" w:cs="Arial" w:eastAsia="Arial" w:hAnsi="Arial"/><w:color w:val="404040"/><w:sz w:val="22"/><w:szCs w:val="22"/></w:rPr><w:t xml:space="preserve">Le présent document fait l&apos;objet d&apos;une révision annuelle ou lors de tout changement significatif dans l&apos;environnement réglementaire, technologique ou organisationnel.</w:t></w:r></w:p><w:p><w:pPr><w:pStyle w:val="Heading2"/></w:pPr><w:r><w:t xml:space="preserve">Critères déclenchant une révision anticipée</w:t></w:r></w:p><w:p><w:pPr><w:pStyle w:val="ListParagraph"/><w:numPr><w:ilvl w:val="0"/><w:numId w:val="2"/></w:numPr></w:pPr><w:r><w:rPr><w:rFonts w:ascii="Arial" w:cs="Arial" w:eastAsia="Arial" w:hAnsi="Arial"/><w:color w:val="404040"/><w:sz w:val="22"/><w:szCs w:val="22"/></w:rPr><w:t xml:space="preserve">Modification substantielle de la législation applicable (Loi 25, C-27/LIAD, EU AI Act)</w:t></w:r></w:p><w:p><w:pPr><w:pStyle w:val="ListParagraph"/><w:numPr><w:ilvl w:val="0"/><w:numId w:val="2"/></w:numPr></w:pPr><w:r><w:rPr><w:rFonts w:ascii="Arial" w:cs="Arial" w:eastAsia="Arial" w:hAnsi="Arial"/><w:color w:val="404040"/><w:sz w:val="22"/><w:szCs w:val="22"/></w:rPr><w:t xml:space="preserve">Incident majeur lié à l&apos;IA au sein de l&apos;organisation</w:t></w:r></w:p><w:p><w:pPr><w:pStyle w:val="ListParagraph"/><w:numPr><w:ilvl w:val="0"/><w:numId w:val="2"/></w:numPr></w:pPr><w:r><w:rPr><w:rFonts w:ascii="Arial" w:cs="Arial" w:eastAsia="Arial" w:hAnsi="Arial"/><w:color w:val="404040"/><w:sz w:val="22"/><w:szCs w:val="22"/></w:rPr><w:t xml:space="preserve">Changement organisationnel significatif (fusion, acquisition, restructuration)</w:t></w:r></w:p><w:p><w:pPr><w:pStyle w:val="ListParagraph"/><w:numPr><w:ilvl w:val="0"/><w:numId w:val="2"/></w:numPr></w:pPr><w:r><w:rPr><w:rFonts w:ascii="Arial" w:cs="Arial" w:eastAsia="Arial" w:hAnsi="Arial"/><w:color w:val="404040"/><w:sz w:val="22"/><w:szCs w:val="22"/></w:rPr><w:t xml:space="preserve">Évolution technologique majeure impactant les systèmes IA en place</w:t></w:r></w:p><w:p><w:pPr><w:pStyle w:val="ListParagraph"/><w:numPr><w:ilvl w:val="0"/><w:numId w:val="2"/></w:numPr></w:pPr><w:r><w:rPr><w:rFonts w:ascii="Arial" w:cs="Arial" w:eastAsia="Arial" w:hAnsi="Arial"/><w:color w:val="404040"/><w:sz w:val="22"/><w:szCs w:val="22"/></w:rPr><w:t xml:space="preserve">Recommandation issue d&apos;un audit interne ou externe</w:t></w:r></w:p><w:p><w:pPr><w:pStyle w:val="Heading2"/></w:pPr><w:r><w:t xml:space="preserve">Processus de révision</w:t></w:r></w:p><w:p><w:pPr><w:pStyle w:val="ListParagraph"/><w:numPr><w:ilvl w:val="0"/><w:numId w:val="3"/></w:numPr></w:pPr><w:r><w:rPr><w:rFonts w:ascii="Arial" w:cs="Arial" w:eastAsia="Arial" w:hAnsi="Arial"/><w:color w:val="404040"/><w:sz w:val="22"/><w:szCs w:val="22"/></w:rPr><w:t xml:space="preserve">Le responsable du document initie la révision selon le calendrier établi</w:t></w:r></w:p><w:p><w:pPr><w:pStyle w:val="ListParagraph"/><w:numPr><w:ilvl w:val="0"/><w:numId w:val="3"/></w:numPr></w:pPr><w:r><w:rPr><w:rFonts w:ascii="Arial" w:cs="Arial" w:eastAsia="Arial" w:hAnsi="Arial"/><w:color w:val="404040"/><w:sz w:val="22"/><w:szCs w:val="22"/></w:rPr><w:t xml:space="preserve">Les parties prenantes sont consultées et fournissent leurs commentaires</w:t></w:r></w:p><w:p><w:pPr><w:pStyle w:val="ListParagraph"/><w:numPr><w:ilvl w:val="0"/><w:numId w:val="3"/></w:numPr></w:pPr><w:r><w:rPr><w:rFonts w:ascii="Arial" w:cs="Arial" w:eastAsia="Arial" w:hAnsi="Arial"/><w:color w:val="404040"/><w:sz w:val="22"/><w:szCs w:val="22"/></w:rPr><w:t xml:space="preserve">Les modifications sont documentées dans l&apos;historique des versions</w:t></w:r></w:p><w:p><w:pPr><w:pStyle w:val="ListParagraph"/><w:numPr><w:ilvl w:val="0"/><w:numId w:val="3"/></w:numPr></w:pPr><w:r><w:rPr><w:rFonts w:ascii="Arial" w:cs="Arial" w:eastAsia="Arial" w:hAnsi="Arial"/><w:color w:val="404040"/><w:sz w:val="22"/><w:szCs w:val="22"/></w:rPr><w:t xml:space="preserve">Le document révisé est soumis à l&apos;approbation de l&apos;autorité compétente</w:t></w:r></w:p><w:p><w:pPr><w:pStyle w:val="ListParagraph"/><w:numPr><w:ilvl w:val="0"/><w:numId w:val="3"/></w:numPr></w:pPr><w:r><w:rPr><w:rFonts w:ascii="Arial" w:cs="Arial" w:eastAsia="Arial" w:hAnsi="Arial"/><w:color w:val="404040"/><w:sz w:val="22"/><w:szCs w:val="22"/></w:rPr><w:t xml:space="preserve">La version approuvée est diffusée et les parties prenantes sont informées</w:t></w:r></w:p><w:p><w:pPr><w:spacing w:before="200"/></w:pPr></w:p><w:p><w:pPr><w:pStyle w:val="Heading1"/></w:pPr><w:r><w:t xml:space="preserve">Annexe A - Glossaire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6360"/></w:tblGrid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b/><w:bCs/><w:color w:val="FFFFFF"/><w:sz w:val="18"/><w:szCs w:val="18"/></w:rPr><w:t xml:space="preserve">Terme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b/><w:bCs/><w:color w:val="FFFFFF"/><w:sz w:val="18"/><w:szCs w:val="18"/></w:rPr><w:t xml:space="preserve">Définition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Intelligence artificielle (IA)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Ensemble de techniques permettant à des machines de simuler des capacités cognitives humaines telles que l&apos;apprentissage, le raisonnement et la prise de décision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IA générative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Catégorie de systèmes d&apos;IA capables de générer du contenu original (texte, images, code, audio) à partir de modèles entraînés sur de grands ensembles de données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Modèle de langage (LLM)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Modèle d&apos;IA entraîné sur de vastes corpus de texte, capable de comprendre et générer du langage naturel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Biais algorithmique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Tendance systématique d&apos;un système d&apos;IA à produire des résultats inéquitables en raison de données d&apos;entraînement ou de choix de conception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Renseignement personnel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Selon la Loi 25, tout renseignement qui concerne une personne physique et permet directement ou indirectement de l&apos;identifier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Loi 25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Loi modernisant des dispositions législatives en matière de protection des renseignements personnels (Québec, 2021-2024)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LIAD (C-27)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Loi sur l&apos;intelligence artificielle et les données, partie du projet de loi fédéral C-27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EU AI Act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Règlement européen sur l&apos;intelligence artificielle (Règlement (UE) 2024/1689)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ÉIVP / PIA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Évaluation des impacts sur la vie privée / Privacy Impact Assessment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Explicabilité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Capacité à expliquer de manière compréhensible le fonctionnement et les décisions d&apos;un système d&apos;IA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Donnée sensible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Données révélant origine raciale/ethnique, convictions politiques/religieuses, données de santé, biométriques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Pseudonymisation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Remplacement de l&apos;identifiant par un pseudonyme tout en conservant des liens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Anonymisation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Suppression irréversible de tous les identifiants d&apos;une personne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DLP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Data Loss Prevention - système de détection et prévention des fuites de données</w:t></w:r></w:p></w:tc></w:tr></w:tbl><w:sectPr><w:headerReference w:type="default" r:id="rId7"/><w:footerReference w:type="default" r:id="rId8"/><w:pgSz w:w="12240" w:h="15840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666666"/>
        <w:sz w:val="14"/>
        <w:szCs w:val="14"/>
      </w:rPr>
      <w:t xml:space="preserve">Document confidentiel - [NOM_ORGANISATION]</w:t>
    </w:r>
    <w:r>
      <w:rPr>
        <w:rFonts w:ascii="Arial" w:cs="Arial" w:eastAsia="Arial" w:hAnsi="Arial"/>
        <w:color w:val="666666"/>
        <w:sz w:val="14"/>
        <w:szCs w:val="14"/>
      </w:rPr>
      <w:t xml:space="preserve">	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color w:val="666666"/>
        <w:sz w:val="16"/>
        <w:szCs w:val="16"/>
      </w:rPr>
      <w:t xml:space="preserve">[NOM_ORGANISATION]</w:t>
    </w:r>
    <w:r>
      <w:rPr>
        <w:rFonts w:ascii="Arial" w:cs="Arial" w:eastAsia="Arial" w:hAnsi="Arial"/>
        <w:i/>
        <w:iCs/>
        <w:color w:val="2E75B6"/>
        <w:sz w:val="16"/>
        <w:szCs w:val="16"/>
      </w:rPr>
      <w:t xml:space="preserve">	Classification des données 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2026-03-05T02:27:11.918Z</dcterms:created>
  <dcterms:modified xsi:type="dcterms:W3CDTF">2026-03-05T02:27:11.918Z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