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Guide de sécurisation des modèles IA</w:t></w:r></w:p><w:p><w:pPr><w:spacing w:after="600"/><w:jc w:val="center"/></w:pPr><w:r><w:rPr><w:rFonts w:ascii="Arial" w:cs="Arial" w:eastAsia="Arial" w:hAnsi="Arial"/><w:color w:val="2E75B6"/><w:sz w:val="24"/><w:szCs w:val="24"/></w:rPr><w:t xml:space="preserve">Protections contre les attaques adverses, empoisonnement de données et vol de modèles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Introduction aux menaces des systèmes d&apos;IA</w:t></w:r></w:p><w:p><w:r><w:rPr><w:rFonts w:ascii="Arial" w:cs="Arial" w:eastAsia="Arial" w:hAnsi="Arial"/><w:color w:val="404040"/><w:sz w:val="22"/><w:szCs w:val="22"/></w:rPr><w:t xml:space="preserve">Les systèmes d&apos;intelligence artificielle font face à des menaces uniques et sophistiquées qui diffèrent des cyberattaques traditionnelles. Ce guide couvre les principales classes de menaces et les stratégies de défense.</w:t></w:r></w:p><w:p><w:pPr><w:pStyle w:val="Heading2"/></w:pPr><w:r><w:t xml:space="preserve">1.1 Catégories de menaces</w:t></w:r></w:p><0/><w:p><w:pPr><w:pStyle w:val="Heading1"/></w:pPr><w:r><w:t xml:space="preserve">2. Défenses contre les attaques adverses</w:t></w:r></w:p><w:p><w:pPr><w:pStyle w:val="Heading2"/></w:pPr><w:r><w:t xml:space="preserve">2.1 Evaluation des modèles</w:t></w:r></w:p><0/><w:p><w:pPr><w:pStyle w:val="Heading2"/></w:pPr><w:r><w:t xml:space="preserve">2.2 Entraînement robuste</w:t></w:r></w:p><0/><w:p><w:pPr><w:pStyle w:val="Heading2"/></w:pPr><w:r><w:t xml:space="preserve">2.3 Détection à l&apos;inférence</w:t></w:r></w:p><0/><w:p><w:pPr><w:pStyle w:val="Heading1"/></w:pPr><w:r><w:t xml:space="preserve">3. Défenses contre l&apos;empoisonnement de données</w:t></w:r></w:p><w:p><w:pPr><w:pStyle w:val="Heading2"/></w:pPr><w:r><w:t xml:space="preserve">3.1 Validation des sources de données</w:t></w:r></w:p><0/><w:p><w:pPr><w:pStyle w:val="Heading2"/></w:pPr><w:r><w:t xml:space="preserve">3.2 Detection du poisonnement</w:t></w:r></w:p><0/><w:p><w:pPr><w:pStyle w:val="Heading2"/></w:pPr><w:r><w:t xml:space="preserve">3.3 Mitigation du poisonnement</w:t></w:r></w:p><0/><w:p><w:pPr><w:pStyle w:val="Heading1"/></w:pPr><w:r><w:t xml:space="preserve">4. Prévention du vol de modèles</w:t></w:r></w:p><w:p><w:pPr><w:pStyle w:val="Heading2"/></w:pPr><w:r><w:t xml:space="preserve">4.1 Restrictions d&apos;accès au modèle</w:t></w:r></w:p><0/><w:p><w:pPr><w:pStyle w:val="Heading2"/></w:pPr><w:r><w:t xml:space="preserve">4.2 Watermarking et fingerprinting</w:t></w:r></w:p><0/><w:p><w:pPr><w:pStyle w:val="Heading2"/></w:pPr><w:r><w:t xml:space="preserve">4.3 Limitation des interrogations</w:t></w:r></w:p><0/><w:p><w:pPr><w:pStyle w:val="Heading1"/></w:pPr><w:r><w:t xml:space="preserve">5. Prévention de l&apos;inversion de modèles</w:t></w:r></w:p><w:p><w:pPr><w:pStyle w:val="Heading2"/></w:pPr><w:r><w:t xml:space="preserve">5.1 Limitation de l&apos;information de sortie</w:t></w:r></w:p><0/><w:p><w:pPr><w:pStyle w:val="Heading2"/></w:pPr><w:r><w:t xml:space="preserve">5.2 Differential privacy</w:t></w:r></w:p><0/><w:p><w:pPr><w:pStyle w:val="Heading1"/></w:pPr><w:r><w:t xml:space="preserve">6. Sécurité de la chaîne d&apos;approvisionnement</w:t></w:r></w:p><w:p><w:pPr><w:pStyle w:val="Heading2"/></w:pPr><w:r><w:t xml:space="preserve">6.1 Modèles pré-entraînés</w:t></w:r></w:p><0/><w:p><w:pPr><w:pStyle w:val="Heading2"/></w:pPr><w:r><w:t xml:space="preserve">6.2 Dépendances et packages</w:t></w:r></w:p><0/><w:p><w:pPr><w:pStyle w:val="Heading1"/></w:pPr><w:r><w:t xml:space="preserve">7. Sécurité du pipeline d&apos;entraînement</w:t></w:r></w:p><w:p><w:pPr><w:pStyle w:val="Heading2"/></w:pPr><w:r><w:t xml:space="preserve">7.1 Isolation de l&apos;environnement d&apos;entraînement</w:t></w:r></w:p><0/><w:p><w:pPr><w:pStyle w:val="Heading2"/></w:pPr><w:r><w:t xml:space="preserve">7.2 Versioning et reproducibilité</w:t></w:r></w:p><0/><w:p><w:pPr><w:pStyle w:val="Heading1"/></w:pPr><w:r><w:t xml:space="preserve">8. Monitoring et détection d&apos;incidents</w:t></w:r></w:p><w:p><w:pPr><w:pStyle w:val="Heading2"/></w:pPr><w:r><w:t xml:space="preserve">8.1 Monitoring de performance</w:t></w:r></w:p><0/><w:p><w:pPr><w:pStyle w:val="Heading2"/></w:pPr><w:r><w:t xml:space="preserve">8.2 Détection de comportement anormal</w:t></w:r></w:p><0/><w:p><w:pPr><w:pStyle w:val="Heading1"/></w:pPr><w:r><w:t xml:space="preserve">9. Réponse aux incidents de sécurité</w:t></w:r></w:p><w:p><w:pPr><w:pStyle w:val="Heading2"/></w:pPr><w:r><w:t xml:space="preserve">9.1 Plan de réaction</w:t></w:r></w:p><w:p><w:r><w:rPr><w:rFonts w:ascii="Arial" w:cs="Arial" w:eastAsia="Arial" w:hAnsi="Arial"/><w:color w:val="404040"/><w:sz w:val="22"/><w:szCs w:val="22"/></w:rPr><w:t xml:space="preserve">En cas de suspicion d&apos;attaque ou compromission du modèle:</w:t></w:r></w:p><0/><w:p><w:pPr><w:pStyle w:val="Heading1"/></w:pPr><w:r><w:t xml:space="preserve">10. Formation et sensibilisation</w:t></w:r></w:p><w:p><w:r><w:rPr><w:rFonts w:ascii="Arial" w:cs="Arial" w:eastAsia="Arial" w:hAnsi="Arial"/><w:color w:val="404040"/><w:sz w:val="22"/><w:szCs w:val="22"/></w:rPr><w:t xml:space="preserve">Les data scientists et développeurs ML reçoivent une formation:</w:t></w:r></w:p><0/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Adversarial example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Entrée conçue pour induire une erreur dans un modèle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Poisoning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Corruption intentionnelle de données d&apos;entraînement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Model extraction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Tentative de copier ou dérober un modèle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Watermarking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Insertion d&apos;une signature invisible dans le modèle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Differential privacy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Technique d&apos;ajout de bruit pour protéger les données individuelles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Guide de sécurisation des modèles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2026-03-05T02:27:11.988Z</dcterms:created>
  <dcterms:modified xsi:type="dcterms:W3CDTF">2026-03-05T02:27:11.988Z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