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cs="Arial" w:eastAsia="Arial" w:hAnsi="Arial"/><w:color w:val="666666"/><w:sz w:val="28"/><w:szCs w:val="28"/></w:rPr><w:t xml:space="preserve">[NOM_ORGANISATION]</w:t></w:r></w:p><w:p><w:pPr><w:pBdr><w:bottom w:val="single" w:color="2E75B6" w:sz="8" w:space="8"/></w:pBdr><w:spacing w:after="100"/><w:jc w:val="center"/></w:pPr><w:r><w:rPr><w:sz w:val="8"/><w:szCs w:val="8"/></w:rPr><w:t xml:space="preserve"> </w:t></w:r></w:p><w:p><w:pPr><w:spacing w:after="200" w:before="400"/><w:jc w:val="center"/></w:pPr><w:r><w:rPr><w:rFonts w:ascii="Arial" w:cs="Arial" w:eastAsia="Arial" w:hAnsi="Arial"/><w:b/><w:bCs/><w:color w:val="1B3A5C"/><w:sz w:val="48"/><w:szCs w:val="48"/></w:rPr><w:t xml:space="preserve">Politique de rétention des données IA</w:t></w:r></w:p><w:p><w:pPr><w:spacing w:after="600"/><w:jc w:val="center"/></w:pPr><w:r><w:rPr><w:rFonts w:ascii="Arial" w:cs="Arial" w:eastAsia="Arial" w:hAnsi="Arial"/><w:color w:val="2E75B6"/><w:sz w:val="24"/><w:szCs w:val="24"/></w:rPr><w:t xml:space="preserve">Calendrier de conservation, archivage et destruction des données selon la Loi 25</w:t></w:r></w:p><w:p><w:pPr><w:pBdr><w:top w:val="single" w:color="2E75B6" w:sz="8" w:space="8"/></w:pBdr><w:spacing w:after="100"/><w:jc w:val="center"/></w:pPr><w:r><w:rPr><w:sz w:val="8"/><w:szCs w:val="8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Version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[VERSION]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Date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[DATE_DOCUMENT]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Classification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Confidentiel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Responsable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[RESPONSABLE_DOCUMENT]</w:t></w:r></w:p></w:tc></w:tr></w:tbl><w:p><w:r><w:br w:type="page"/></w:r></w:p><w:p><w:pPr><w:sectPr><w:pgSz w:w="12240" w:h="15840" w:orient="portrait"/><w:pgMar w:top="1440" w:right="1440" w:bottom="1440" w:left="1440" w:header="708" w:footer="708" w:gutter="0"/><w:pgNumType/><w:docGrid w:linePitch="360"/></w:sectPr></w:pPr></w:p><w:sdt><w:sdtPr><w:alias w:val="Table des matière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Contrôle du document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Élément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Nom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Fonction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Réviseur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[DATE_RÉVISION]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Approbateur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[DATE_APPROBATION]</w:t></w:r></w:p></w:tc></w:tr></w:tbl><w:p><w:pPr><w:spacing w:before="200"/></w:pPr></w:p><w:p><w:pPr><w:pStyle w:val="Heading2"/></w:pPr><w:r><w:t xml:space="preserve">Historique des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Version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Description des modifications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1.0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Création initiale du document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/w:tr></w:tbl><w:p><w:r><w:br w:type="page"/></w:r></w:p><w:p><w:pPr><w:pStyle w:val="Heading1"/></w:pPr><w:r><w:t xml:space="preserve">1. Objectif et principes</w:t></w:r></w:p><w:p><w:r><w:rPr><w:rFonts w:ascii="Arial" w:cs="Arial" w:eastAsia="Arial" w:hAnsi="Arial"/><w:color w:val="404040"/><w:sz w:val="22"/><w:szCs w:val="22"/></w:rPr><w:t xml:space="preserve">La présente politique définit les durées de conservation des données utilisées ou générées par les systèmes d&apos;intelligence artificielle de [NOM_ORGANISATION]. Elle s&apos;appuie sur la Loi 25, le projet C-27/LIAD et les obligations légales applicables.</w:t></w:r></w:p><w:p><w:pPr><w:pStyle w:val="Heading2"/></w:pPr><w:r><w:t xml:space="preserve">1.1 Principes directeurs</w:t></w:r></w:p><0/><w:p><w:pPr><w:pStyle w:val="Heading1"/></w:pPr><w:r><w:t xml:space="preserve">2. Calendrier de rétention par type de données</w:t></w:r></w:p><w:p><w:pPr><w:pStyle w:val="Heading2"/></w:pPr><w:r><w:t xml:space="preserve">2.1 Donnees d&apos;entraînement</w:t></w:r></w:p><w:p><w:r><w:rPr><w:rFonts w:ascii="Arial" w:cs="Arial" w:eastAsia="Arial" w:hAnsi="Arial"/><w:color w:val="404040"/><w:sz w:val="22"/><w:szCs w:val="22"/></w:rPr><w:t xml:space="preserve">Les données brutes utilisées pour entraîner les modèles d&apos;IA: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1500"/><w:gridCol w:w="2500"/><w:gridCol w:w="1860"/></w:tblGrid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Type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Durée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Justification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Destruction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publiques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3 ans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Légale et archivage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Destruction sécurisée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internes (non-sensibles)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2 ans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Audit et reproductibilité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Suppression définitive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internes (sensibles)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1 an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Minimisation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Destruction chiffrée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Renseignements personnels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6 mois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25, minimisation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Destruction irréversible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Données biométriques</w:t></w:r></w:p></w:tc><w:tc><w:tcPr><w:tcW w:type="dxa" w:w="1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3 mois</w:t></w:r></w:p></w:tc><w:tc><w:tcPr><w:tcW w:type="dxa" w:w="25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25, interdiction générale</w:t></w:r></w:p></w:tc><w:tc><w:tcPr><w:tcW w:type="dxa" w:w="18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Destruction immédiate</w:t></w:r></w:p></w:tc></w:tr></w:tbl><w:p><w:pPr><w:pStyle w:val="Heading2"/></w:pPr><w:r><w:t xml:space="preserve">2.2 Donnees de validation et test</w:t></w:r></w:p><0/><w:p><w:pPr><w:pStyle w:val="Heading2"/></w:pPr><w:r><w:t xml:space="preserve">2.3 Logs et journaux d&apos;accès</w:t></w:r></w:p><0/><w:p><w:pPr><w:pStyle w:val="Heading2"/></w:pPr><w:r><w:t xml:space="preserve">2.4 Donnees de performance et monitoring</w:t></w:r></w:p><0/><w:p><w:pPr><w:pStyle w:val="Heading1"/></w:pPr><w:r><w:t xml:space="preserve">3. Obligations légales spéciales</w:t></w:r></w:p><w:p><w:pPr><w:pStyle w:val="Heading2"/></w:pPr><w:r><w:t xml:space="preserve">3.1 Loi 25 - Rétention des renseignements personnels</w:t></w:r></w:p><0/><w:p><w:pPr><w:pStyle w:val="Heading2"/></w:pPr><w:r><w:t xml:space="preserve">3.2 Projet C-27/LIAD - Données sensibles</w:t></w:r></w:p><0/><w:p><w:pPr><w:pStyle w:val="Heading2"/></w:pPr><w:r><w:t xml:space="preserve">3.3 Obligations fiscales et légales</w:t></w:r></w:p><0/><w:p><w:pPr><w:pStyle w:val="Heading1"/></w:pPr><w:r><w:t xml:space="preserve">4. Processus de rétention et destruction</w:t></w:r></w:p><w:p><w:pPr><w:pStyle w:val="Heading2"/></w:pPr><w:r><w:t xml:space="preserve">4.1 Inventaire et classification</w:t></w:r></w:p><w:p><w:r><w:rPr><w:rFonts w:ascii="Arial" w:cs="Arial" w:eastAsia="Arial" w:hAnsi="Arial"/><w:color w:val="404040"/><w:sz w:val="22"/><w:szCs w:val="22"/></w:rPr><w:t xml:space="preserve">Chaque ensemble de données inclut:</w:t></w:r></w:p><0/><w:p><w:pPr><w:pStyle w:val="Heading2"/></w:pPr><w:r><w:t xml:space="preserve">4.2 Archivage sécurisé</w:t></w:r></w:p><w:p><w:r><w:rPr><w:rFonts w:ascii="Arial" w:cs="Arial" w:eastAsia="Arial" w:hAnsi="Arial"/><w:color w:val="404040"/><w:sz w:val="22"/><w:szCs w:val="22"/></w:rPr><w:t xml:space="preserve">Pour données conservées au-delà de la phase active:</w:t></w:r></w:p><0/><w:p><w:pPr><w:pStyle w:val="Heading2"/></w:pPr><w:r><w:t xml:space="preserve">4.3 Destruction sécurisée</w:t></w:r></w:p><w:p><w:r><w:rPr><w:rFonts w:ascii="Arial" w:cs="Arial" w:eastAsia="Arial" w:hAnsi="Arial"/><w:color w:val="404040"/><w:sz w:val="22"/><w:szCs w:val="22"/></w:rPr><w:t xml:space="preserve">À l&apos;expiration de la durée de rétention:</w:t></w:r></w:p><0/><w:p><w:pPr><w:pStyle w:val="Heading1"/></w:pPr><w:r><w:t xml:space="preserve">5. Gestion des demandes de suppression</w:t></w:r></w:p><w:p><w:pPr><w:pStyle w:val="Heading2"/></w:pPr><w:r><w:t xml:space="preserve">5.1 Droit à l&apos;oubli (Loi 25)</w:t></w:r></w:p><w:p><w:r><w:rPr><w:rFonts w:ascii="Arial" w:cs="Arial" w:eastAsia="Arial" w:hAnsi="Arial"/><w:color w:val="404040"/><w:sz w:val="22"/><w:szCs w:val="22"/></w:rPr><w:t xml:space="preserve">Les renseignements personnels doivent être supprimés sur demande, sauf:</w:t></w:r></w:p><0/><w:p><w:pPr><w:pStyle w:val="Heading2"/></w:pPr><w:r><w:t xml:space="preserve">5.2 Procédure de suppression</w:t></w:r></w:p><0/><w:p><w:pPr><w:pStyle w:val="Heading1"/></w:pPr><w:r><w:t xml:space="preserve">6. Données d&apos;entraînement de modèles</w:t></w:r></w:p><w:p><w:pPr><w:pStyle w:val="Heading2"/></w:pPr><w:r><w:t xml:space="preserve">6.1 Problématique du machine unlearning</w:t></w:r></w:p><w:p><w:r><w:rPr><w:rFonts w:ascii="Arial" w:cs="Arial" w:eastAsia="Arial" w:hAnsi="Arial"/><w:color w:val="404040"/><w:sz w:val="22"/><w:szCs w:val="22"/></w:rPr><w:t xml:space="preserve">La suppression des données d&apos;entraînement est compliquée car elles sont intégrées au modèle final. Les options:</w:t></w:r></w:p><0/><w:p><w:pPr><w:pStyle w:val="Heading2"/></w:pPr><w:r><w:t xml:space="preserve">6.2 Plan d&apos;action</w:t></w:r></w:p><0/><w:p><w:pPr><w:pStyle w:val="Heading1"/></w:pPr><w:r><w:t xml:space="preserve">7. Rétention pour audit et conformité</w:t></w:r></w:p><w:p><w:pPr><w:pStyle w:val="Heading2"/></w:pPr><w:r><w:t xml:space="preserve">7.1 Données requises pour audit</w:t></w:r></w:p><0/><w:p><w:pPr><w:pStyle w:val="Heading2"/></w:pPr><w:r><w:t xml:space="preserve">7.2 Durée de conservation pour audit</w:t></w:r></w:p><0/><w:p><w:pPr><w:pStyle w:val="Heading1"/></w:pPr><w:r><w:t xml:space="preserve">8. Monitoring et revue</w:t></w:r></w:p><w:p><w:pPr><w:pStyle w:val="Heading2"/></w:pPr><w:r><w:t xml:space="preserve">8.1 Audit de rétention</w:t></w:r></w:p><w:p><w:r><w:rPr><w:rFonts w:ascii="Arial" w:cs="Arial" w:eastAsia="Arial" w:hAnsi="Arial"/><w:color w:val="404040"/><w:sz w:val="22"/><w:szCs w:val="22"/></w:rPr><w:t xml:space="preserve">Audit annuel pour vérifier:</w:t></w:r></w:p><0/><w:p><w:pPr><w:pStyle w:val="Heading2"/></w:pPr><w:r><w:t xml:space="preserve">8.2 Rapports au Comité de gouvernance</w:t></w:r></w:p><0/><w:p><w:pPr><w:pStyle w:val="Heading1"/></w:pPr><w:r><w:t xml:space="preserve">9. Formation et responsabilité</w:t></w:r></w:p><w:p><w:r><w:rPr><w:rFonts w:ascii="Arial" w:cs="Arial" w:eastAsia="Arial" w:hAnsi="Arial"/><w:color w:val="404040"/><w:sz w:val="22"/><w:szCs w:val="22"/></w:rPr><w:t xml:space="preserve">Tous les utilisateurs responsables de données reçoivent une formation sur:</w:t></w:r></w:p><0/><w:p><w:pPr><w:pStyle w:val="Heading1"/></w:pPr><w:r><w:t xml:space="preserve">Révision et gouvernance</w:t></w:r></w:p><w:p><w:r><w:rPr><w:rFonts w:ascii="Arial" w:cs="Arial" w:eastAsia="Arial" w:hAnsi="Arial"/><w:color w:val="404040"/><w:sz w:val="22"/><w:szCs w:val="22"/></w:rPr><w:t xml:space="preserve">Le présent document fait l&apos;objet d&apos;une révision annuelle ou lors de tout changement significatif dans l&apos;environnement réglementaire, technologique ou organisationnel.</w:t></w:r></w:p><w:p><w:pPr><w:pStyle w:val="Heading2"/></w:pPr><w:r><w:t xml:space="preserve">Critères déclenchant une révision anticipée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Modification substantielle de la législation applicable (Loi 25, C-27/LIAD, EU AI Act)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Incident majeur lié à l&apos;IA au sein de l&apos;organisation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Changement organisationnel significatif (fusion, acquisition, restructuration)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Évolution technologique majeure impactant les systèmes IA en place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 issue d&apos;un audit interne ou externe</w:t></w:r></w:p><w:p><w:pPr><w:pStyle w:val="Heading2"/></w:pPr><w:r><w:t xml:space="preserve">Processus de révision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responsable du document initie la révision selon le calendrier établi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parties prenantes sont consultées et fournissent leurs commentaires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modifications sont documentées dans l&apos;historique des versions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document révisé est soumis à l&apos;approbation de l&apos;autorité compétente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La version approuvée est diffusée et les parties prenantes sont informées</w:t></w:r></w:p><w:p><w:pPr><w:spacing w:before="200"/></w:pPr></w:p><w:p><w:pPr><w:pStyle w:val="Heading1"/></w:pPr><w:r><w:t xml:space="preserve">Annexe A - Glossaire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Terme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Définition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Intelligence artificielle (IA)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 techniques permettant à des machines de simuler des capacités cognitives humaines telles que l&apos;apprentissage, le raisonnement et la prise de décision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 générative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 de systèmes d&apos;IA capables de générer du contenu original (texte, images, code, audio) à partir de modèles entraînés sur de grands ensembles de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de langage (LLM)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d&apos;IA entraîné sur de vastes corpus de texte, capable de comprendre et générer du langage naturel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systématique d&apos;un système d&apos;IA à produire des résultats inéquitables en raison de données d&apos;entraînement ou de choix de conception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 personnel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Selon la Loi 25, tout renseignement qui concerne une personne physique et permet directement ou indirectement de l&apos;identifier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modernisant des dispositions législatives en matière de protection des renseignements personnels (Québec, 2021-2024)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LIAD (C-27)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sur l&apos;intelligence artificielle et les données, partie du projet de loi fédéral C-27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EU AI Act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Règlement européen sur l&apos;intelligence artificielle (Règlement (UE) 2024/1689)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ÉIVP / 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des impacts sur la vie privée / Privacy Impact Assessment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Explicabilité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Capacité à expliquer de manière compréhensible le fonctionnement et les décisions d&apos;un système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Rétention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Durée pendant laquelle les données sont conservées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Archivage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Transfert de données actives vers stockage à long terme sécurisé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Destruction sécurisée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Suppression irréversible des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Droit à l&apos;oubli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Droit de la personne d&apos;obtenir la suppression de ses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Machine unlearning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Technique pour retirer l&apos;influence de certaines données d&apos;un modèle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Politique de rétention des données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2026-03-05T02:27:12.017Z</dcterms:created>
  <dcterms:modified xsi:type="dcterms:W3CDTF">2026-03-05T02:27:12.017Z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