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cs="Arial" w:eastAsia="Arial" w:hAnsi="Arial"/><w:color w:val="666666"/><w:sz w:val="28"/><w:szCs w:val="28"/></w:rPr><w:t xml:space="preserve">[NOM_ORGANISATION]</w:t></w:r></w:p><w:p><w:pPr><w:pBdr><w:bottom w:val="single" w:color="2E75B6" w:sz="8" w:space="8"/></w:pBdr><w:spacing w:after="100"/><w:jc w:val="center"/></w:pPr><w:r><w:rPr><w:sz w:val="8"/><w:szCs w:val="8"/></w:rPr><w:t xml:space="preserve"> </w:t></w:r></w:p><w:p><w:pPr><w:spacing w:after="200" w:before="400"/><w:jc w:val="center"/></w:pPr><w:r><w:rPr><w:rFonts w:ascii="Arial" w:cs="Arial" w:eastAsia="Arial" w:hAnsi="Arial"/><w:b/><w:bCs/><w:color w:val="1B3A5C"/><w:sz w:val="48"/><w:szCs w:val="48"/></w:rPr><w:t xml:space="preserve">Registre des traitements IA</w:t></w:r></w:p><w:p><w:pPr><w:spacing w:after="600"/><w:jc w:val="center"/></w:pPr><w:r><w:rPr><w:rFonts w:ascii="Arial" w:cs="Arial" w:eastAsia="Arial" w:hAnsi="Arial"/><w:color w:val="2E75B6"/><w:sz w:val="24"/><w:szCs w:val="24"/></w:rPr><w:t xml:space="preserve">Inventaire complet des traitements de renseignements personnels conforme a la Loi 25</w:t></w:r></w:p><w:p><w:pPr><w:pBdr><w:top w:val="single" w:color="2E75B6" w:sz="8" w:space="8"/></w:pBdr><w:spacing w:after="100"/><w:jc w:val="center"/></w:pPr><w:r><w:rPr><w:sz w:val="8"/><w:szCs w:val="8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Version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[VERSION]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Date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[DATE_DOCUMENT]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Classification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Confidentiel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Responsable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[RESPONSABLE_DOCUMENT]</w:t></w:r></w:p></w:tc></w:tr></w:tbl><w:p><w:r><w:br w:type="page"/></w:r></w:p><w:p><w:pPr><w:sectPr><w:pgSz w:w="12240" w:h="15840" w:orient="portrait"/><w:pgMar w:top="1440" w:right="1440" w:bottom="1440" w:left="1440" w:header="708" w:footer="708" w:gutter="0"/><w:pgNumType/><w:docGrid w:linePitch="360"/></w:sectPr></w:pPr></w:p><w:sdt><w:sdtPr><w:alias w:val="Table des matière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Contrôle du document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Élément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Nom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Fonction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Réviseur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[DATE_RÉVISION]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Approbateur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[DATE_APPROBATION]</w:t></w:r></w:p></w:tc></w:tr></w:tbl><w:p><w:pPr><w:spacing w:before="200"/></w:pPr></w:p><w:p><w:pPr><w:pStyle w:val="Heading2"/></w:pPr><w:r><w:t xml:space="preserve">Historique des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Version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Description des modifications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1.0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Création initiale du document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/w:tr></w:tbl><w:p><w:r><w:br w:type="page"/></w:r></w:p><w:p><w:pPr><w:pStyle w:val="Heading1"/></w:pPr><w:r><w:t xml:space="preserve">1. Objectif et exigences légales</w:t></w:r></w:p><w:p><w:r><w:rPr><w:rFonts w:ascii="Arial" w:cs="Arial" w:eastAsia="Arial" w:hAnsi="Arial"/><w:color w:val="404040"/><w:sz w:val="22"/><w:szCs w:val="22"/></w:rPr><w:t xml:space="preserve">La Loi 25 exige que [NOM_ORGANISATION] tienne un registre de tous les traitements de renseignements personnels. Ce registre démontre la conformité avec les obligations de transparence, de traçabilité et de responsabilité.</w:t></w:r></w:p><w:p><w:pPr><w:pStyle w:val="Heading2"/></w:pPr><w:r><w:t xml:space="preserve">1.1 Exigences de la Loi 25</w:t></w:r></w:p><0/><w:p><w:pPr><w:pStyle w:val="Heading2"/></w:pPr><w:r><w:t xml:space="preserve">1.2 Portée du registre</w:t></w:r></w:p><w:p><w:r><w:rPr><w:rFonts w:ascii="Arial" w:cs="Arial" w:eastAsia="Arial" w:hAnsi="Arial"/><w:color w:val="404040"/><w:sz w:val="22"/><w:szCs w:val="22"/></w:rPr><w:t xml:space="preserve">Le registre couvre tous les systèmes d&apos;IA qui traitent des renseignements personnels, y compris:</w:t></w:r></w:p><0/><w:p><w:pPr><w:pStyle w:val="Heading1"/></w:pPr><w:r><w:t xml:space="preserve">2. Structure du registre</w:t></w:r></w:p><w:p><w:pPr><w:pStyle w:val="Heading2"/></w:pPr><w:r><w:t xml:space="preserve">2.1 Champs obligatoires par traitement</w:t></w:r></w:p><w:p><w:r><w:rPr><w:rFonts w:ascii="Arial" w:cs="Arial" w:eastAsia="Arial" w:hAnsi="Arial"/><w:color w:val="404040"/><w:sz w:val="22"/><w:szCs w:val="22"/></w:rPr><w:t xml:space="preserve">Chaque entrée du registre inclut: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500"/><w:gridCol w:w="2500"/><w:gridCol w:w="1860"/></w:tblGrid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Champ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Description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Exemple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ID unique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Identifiant du traitement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IA-ML-2024-001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Nom du système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Nom du système d&apos;IA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Chatbot de service à la clientèle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Responsable du traitement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Entité décidant du traitement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[NOM_ORGANISATION]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Finalité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Objectif du traitement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Assistance à la clientèle et classification des demandes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Base légale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Autorisation légale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Consentement / Contrat / Obligation légale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Catégories de données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Types de renseignements personnels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Nom, email, historique de chat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Catégories de personnes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Qui est affecté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Clients de [NOM_ORGANISATION]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Volume estimé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Nombre de personnes concernées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50,000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Délai de rétention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Combien de temps conservé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6 mois après dernière interaction</w:t></w:r></w:p></w:tc></w:tr></w:tbl><w:p><w:pPr><w:pStyle w:val="Heading1"/></w:pPr><w:r><w:t xml:space="preserve">3. Détails des informations requises</w:t></w:r></w:p><w:p><w:pPr><w:pStyle w:val="Heading2"/></w:pPr><w:r><w:t xml:space="preserve">3.1 Identification du traitement</w:t></w:r></w:p><0/><w:p><w:pPr><w:pStyle w:val="Heading2"/></w:pPr><w:r><w:t xml:space="preserve">3.2 Finalités et bases légales</w:t></w:r></w:p><w:p><w:r><w:rPr><w:rFonts w:ascii="Arial" w:cs="Arial" w:eastAsia="Arial" w:hAnsi="Arial"/><w:color w:val="404040"/><w:sz w:val="22"/><w:szCs w:val="22"/></w:rPr><w:t xml:space="preserve">Pour chaque finalité, documenter:</w:t></w:r></w:p><0/><w:p><w:pPr><w:pStyle w:val="Heading2"/></w:pPr><w:r><w:t xml:space="preserve">3.3 Catégories de données</w:t></w:r></w:p><0/><w:p><w:pPr><w:pStyle w:val="Heading2"/></w:pPr><w:r><w:t xml:space="preserve">3.4 Catégories de personnes concernées</w:t></w:r></w:p><0/><w:p><w:pPr><w:pStyle w:val="Heading1"/></w:pPr><w:r><w:t xml:space="preserve">4. Mesures de sécurité documentées</w:t></w:r></w:p><w:p><w:r><w:rPr><w:rFonts w:ascii="Arial" w:cs="Arial" w:eastAsia="Arial" w:hAnsi="Arial"/><w:color w:val="404040"/><w:sz w:val="22"/><w:szCs w:val="22"/></w:rPr><w:t xml:space="preserve">Pour chaque traitement, enregistrer:</w:t></w:r></w:p><0/><w:p><w:pPr><w:pStyle w:val="Heading1"/></w:pPr><w:r><w:t xml:space="preserve">5. Destinataires et transferts</w:t></w:r></w:p><w:p><w:pPr><w:pStyle w:val="Heading2"/></w:pPr><w:r><w:t xml:space="preserve">5.1 Destinataires internes</w:t></w:r></w:p><0/><w:p><w:pPr><w:pStyle w:val="Heading2"/></w:pPr><w:r><w:t xml:space="preserve">5.2 Destinataires externes</w:t></w:r></w:p><0/><w:p><w:pPr><w:pStyle w:val="Heading2"/></w:pPr><w:r><w:t xml:space="preserve">5.3 Transferts internationaux</w:t></w:r></w:p><w:p><w:r><w:rPr><w:rFonts w:ascii="Arial" w:cs="Arial" w:eastAsia="Arial" w:hAnsi="Arial"/><w:color w:val="404040"/><w:sz w:val="22"/><w:szCs w:val="22"/></w:rPr><w:t xml:space="preserve">Si données transférées hors du Canada:</w:t></w:r></w:p><0/><w:p><w:pPr><w:pStyle w:val="Heading1"/></w:pPr><w:r><w:t xml:space="preserve">6. Droits des personnes concernées</w:t></w:r></w:p><w:p><w:r><w:rPr><w:rFonts w:ascii="Arial" w:cs="Arial" w:eastAsia="Arial" w:hAnsi="Arial"/><w:color w:val="404040"/><w:sz w:val="22"/><w:szCs w:val="22"/></w:rPr><w:t xml:space="preserve">Le registre doit documenter comment exercer les droits:</w:t></w:r></w:p><0/><w:p><w:pPr><w:pStyle w:val="Heading1"/></w:pPr><w:r><w:t xml:space="preserve">7. Impacts sur la vie privée</w:t></w:r></w:p><w:p><w:pPr><w:pStyle w:val="Heading2"/></w:pPr><w:r><w:t xml:space="preserve">7.1 EIVP requise ou non</w:t></w:r></w:p><0/><w:p><w:pPr><w:pStyle w:val="Heading2"/></w:pPr><w:r><w:t xml:space="preserve">7.2 Résumé de l&apos;EIVP</w:t></w:r></w:p><w:p><w:r><w:rPr><w:rFonts w:ascii="Arial" w:cs="Arial" w:eastAsia="Arial" w:hAnsi="Arial"/><w:color w:val="404040"/><w:sz w:val="22"/><w:szCs w:val="22"/></w:rPr><w:t xml:space="preserve">Si EIVP réalisée, le registre inclut:</w:t></w:r></w:p><0/><w:p><w:pPr><w:pStyle w:val="Heading1"/></w:pPr><w:r><w:t xml:space="preserve">8. Gestion des entrées du registre</w:t></w:r></w:p><w:p><w:pPr><w:pStyle w:val="Heading2"/></w:pPr><w:r><w:t xml:space="preserve">8.1 Création d&apos;une nouvelle entrée</w:t></w:r></w:p><0/><w:p><w:pPr><w:pStyle w:val="Heading2"/></w:pPr><w:r><w:t xml:space="preserve">8.2 Mise à jour des entrées</w:t></w:r></w:p><0/><w:p><w:pPr><w:pStyle w:val="Heading2"/></w:pPr><w:r><w:t xml:space="preserve">8.3 Suppression d&apos;entrées</w:t></w:r></w:p><0/><w:p><w:pPr><w:pStyle w:val="Heading1"/></w:pPr><w:r><w:t xml:space="preserve">9. Format et accessibilité</w:t></w:r></w:p><w:p><w:pPr><w:pStyle w:val="Heading2"/></w:pPr><w:r><w:t xml:space="preserve">9.1 Format du registre</w:t></w:r></w:p><w:p><w:r><w:rPr><w:rFonts w:ascii="Arial" w:cs="Arial" w:eastAsia="Arial" w:hAnsi="Arial"/><w:color w:val="404040"/><w:sz w:val="22"/><w:szCs w:val="22"/></w:rPr><w:t xml:space="preserve">Le registre est maintenu dans:</w:t></w:r></w:p><0/><w:p><w:pPr><w:pStyle w:val="Heading2"/></w:pPr><w:r><w:t xml:space="preserve">9.2 Rapports et extraits</w:t></w:r></w:p><0/><w:p><w:pPr><w:pStyle w:val="Heading1"/></w:pPr><w:r><w:t xml:space="preserve">10. Conformité et audit</w:t></w:r></w:p><w:p><w:pPr><w:pStyle w:val="Heading2"/></w:pPr><w:r><w:t xml:space="preserve">10.1 Audit du registre</w:t></w:r></w:p><0/><w:p><w:pPr><w:pStyle w:val="Heading2"/></w:pPr><w:r><w:t xml:space="preserve">10.2 Incidents de rétention</w:t></w:r></w:p><0/><w:p><w:pPr><w:pStyle w:val="Heading1"/></w:pPr><w:r><w:t xml:space="preserve">11. Responsabilités</w:t></w:r></w:p><w:p><w:r><w:rPr><w:rFonts w:ascii="Arial" w:cs="Arial" w:eastAsia="Arial" w:hAnsi="Arial"/><w:color w:val="404040"/><w:sz w:val="22"/><w:szCs w:val="22"/></w:rPr><w:t xml:space="preserve">Rôles et responsabilités:</w:t></w:r></w:p><0/><w:p><w:pPr><w:pStyle w:val="Heading1"/></w:pPr><w:r><w:t xml:space="preserve">Révision et gouvernance</w:t></w:r></w:p><w:p><w:r><w:rPr><w:rFonts w:ascii="Arial" w:cs="Arial" w:eastAsia="Arial" w:hAnsi="Arial"/><w:color w:val="404040"/><w:sz w:val="22"/><w:szCs w:val="22"/></w:rPr><w:t xml:space="preserve">Le présent document fait l&apos;objet d&apos;une révision annuelle ou lors de tout changement significatif dans l&apos;environnement réglementaire, technologique ou organisationnel.</w:t></w:r></w:p><w:p><w:pPr><w:pStyle w:val="Heading2"/></w:pPr><w:r><w:t xml:space="preserve">Critères déclenchant une révision anticipée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Modification substantielle de la législation applicable (Loi 25, C-27/LIAD, EU AI Act)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Incident majeur lié à l&apos;IA au sein de l&apos;organisation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Changement organisationnel significatif (fusion, acquisition, restructuration)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Évolution technologique majeure impactant les systèmes IA en place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 issue d&apos;un audit interne ou externe</w:t></w:r></w:p><w:p><w:pPr><w:pStyle w:val="Heading2"/></w:pPr><w:r><w:t xml:space="preserve">Processus de révision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responsable du document initie la révision selon le calendrier établi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parties prenantes sont consultées et fournissent leurs commentaires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modifications sont documentées dans l&apos;historique des versions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document révisé est soumis à l&apos;approbation de l&apos;autorité compétente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La version approuvée est diffusée et les parties prenantes sont informées</w:t></w:r></w:p><w:p><w:pPr><w:spacing w:before="200"/></w:pPr></w:p><w:p><w:pPr><w:pStyle w:val="Heading1"/></w:pPr><w:r><w:t xml:space="preserve">Annexe A - Glossaire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Terme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Définition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Intelligence artificielle (IA)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 techniques permettant à des machines de simuler des capacités cognitives humaines telles que l&apos;apprentissage, le raisonnement et la prise de décision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 générative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 de systèmes d&apos;IA capables de générer du contenu original (texte, images, code, audio) à partir de modèles entraînés sur de grands ensembles de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de langage (LLM)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d&apos;IA entraîné sur de vastes corpus de texte, capable de comprendre et générer du langage naturel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systématique d&apos;un système d&apos;IA à produire des résultats inéquitables en raison de données d&apos;entraînement ou de choix de conception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 personnel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Selon la Loi 25, tout renseignement qui concerne une personne physique et permet directement ou indirectement de l&apos;identifier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modernisant des dispositions législatives en matière de protection des renseignements personnels (Québec, 2021-2024)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LIAD (C-27)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sur l&apos;intelligence artificielle et les données, partie du projet de loi fédéral C-27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EU AI Act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Règlement européen sur l&apos;intelligence artificielle (Règlement (UE) 2024/1689)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ÉIVP / 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des impacts sur la vie privée / Privacy Impact Assessment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Explicabilité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Capacité à expliquer de manière compréhensible le fonctionnement et les décisions d&apos;un système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Traitement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Toute opération effectuée sur les renseignements personnels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Responsable du traitement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Entité déterminant les objectifs et moyens du traitement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Base légale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Fondement légal permettant le traitement (consentement, contrat, loi, etc.)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EIVP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d&apos;impact sur la vie privée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Finalité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Objectif déclaré pour lequel les données sont collectées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Registre des traitements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2026-03-05T02:27:12.047Z</dcterms:created>
  <dcterms:modified xsi:type="dcterms:W3CDTF">2026-03-05T02:27:12.047Z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