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cs="Arial" w:eastAsia="Arial" w:hAnsi="Arial"/><w:color w:val="666666"/><w:sz w:val="28"/><w:szCs w:val="28"/></w:rPr><w:t xml:space="preserve">[NOM_ORGANISATION]</w:t></w:r></w:p><w:p><w:pPr><w:pBdr><w:bottom w:val="single" w:color="2E75B6" w:sz="8" w:space="8"/></w:pBdr><w:spacing w:after="100"/><w:jc w:val="center"/></w:pPr><w:r><w:rPr><w:sz w:val="8"/><w:szCs w:val="8"/></w:rPr><w:t xml:space="preserve"> </w:t></w:r></w:p><w:p><w:pPr><w:spacing w:after="200" w:before="400"/><w:jc w:val="center"/></w:pPr><w:r><w:rPr><w:rFonts w:ascii="Arial" w:cs="Arial" w:eastAsia="Arial" w:hAnsi="Arial"/><w:b/><w:bCs/><w:color w:val="1B3A5C"/><w:sz w:val="48"/><w:szCs w:val="48"/></w:rPr><w:t xml:space="preserve">Politique de gestion des accès IA</w:t></w:r></w:p><w:p><w:pPr><w:spacing w:after="600"/><w:jc w:val="center"/></w:pPr><w:r><w:rPr><w:rFonts w:ascii="Arial" w:cs="Arial" w:eastAsia="Arial" w:hAnsi="Arial"/><w:color w:val="2E75B6"/><w:sz w:val="24"/><w:szCs w:val="24"/></w:rPr><w:t xml:space="preserve">Contrôle d&apos;accès, authentification, autorisation et audit des systèmes d&apos;IA</w:t></w:r></w:p><w:p><w:pPr><w:pBdr><w:top w:val="single" w:color="2E75B6" w:sz="8" w:space="8"/></w:pBdr><w:spacing w:after="100"/><w:jc w:val="center"/></w:pPr><w:r><w:rPr><w:sz w:val="8"/><w:szCs w:val="8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Version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[VERSION]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Date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[DATE_DOCUMENT]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Classification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Confidentiel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Responsable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[RESPONSABLE_DOCUMENT]</w:t></w:r></w:p></w:tc></w:tr></w:tbl><w:p><w:r><w:br w:type="page"/></w:r></w:p><w:p><w:pPr><w:sectPr><w:pgSz w:w="12240" w:h="15840" w:orient="portrait"/><w:pgMar w:top="1440" w:right="1440" w:bottom="1440" w:left="1440" w:header="708" w:footer="708" w:gutter="0"/><w:pgNumType/><w:docGrid w:linePitch="360"/></w:sectPr></w:pPr></w:p><w:sdt><w:sdtPr><w:alias w:val="Table des matière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t xml:space="preserve">Contrôle du document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Élément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Nom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Fonction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Réviseur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[DATE_RÉVISION]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Approbateur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[DATE_APPROBATION]</w:t></w:r></w:p></w:tc></w:tr></w:tbl><w:p><w:pPr><w:spacing w:before="200"/></w:pPr></w:p><w:p><w:pPr><w:pStyle w:val="Heading2"/></w:pPr><w:r><w:t xml:space="preserve">Historique des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Version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Description des modifications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1.0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Création initiale du document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/w:tr></w:tbl><w:p><w:r><w:br w:type="page"/></w:r></w:p><w:p><w:pPr><w:pStyle w:val="Heading1"/></w:pPr><w:r><w:t xml:space="preserve">1. Objectif et principes</w:t></w:r></w:p><w:p><w:r><w:rPr><w:rFonts w:ascii="Arial" w:cs="Arial" w:eastAsia="Arial" w:hAnsi="Arial"/><w:color w:val="404040"/><w:sz w:val="22"/><w:szCs w:val="22"/></w:rPr><w:t xml:space="preserve">La présente politique établit les contrôles d&apos;accès pour tous les systèmes et ressources liés à l&apos;intelligence artificielle chez [NOM_ORGANISATION]. Elle s&apos;appuie sur le principe du moindre privilège: chaque utilisateur n&apos;a accès que aux ressources minimales nécessaires.</w:t></w:r></w:p><w:p><w:pPr><w:pStyle w:val="Heading2"/></w:pPr><w:r><w:t xml:space="preserve">1.1 Principes fondamentaux</w:t></w:r></w:p><0/><w:p><w:pPr><w:pStyle w:val="Heading1"/></w:pPr><w:r><w:t xml:space="preserve">2. Authentification</w:t></w:r></w:p><w:p><w:pPr><w:pStyle w:val="Heading2"/></w:pPr><w:r><w:t xml:space="preserve">2.1 Authentification simple</w:t></w:r></w:p><0/><w:p><w:pPr><w:pStyle w:val="Heading2"/></w:pPr><w:r><w:t xml:space="preserve">2.2 Authentification multi-facteurs (MFA)</w:t></w:r></w:p><w:p><w:r><w:rPr><w:rFonts w:ascii="Arial" w:cs="Arial" w:eastAsia="Arial" w:hAnsi="Arial"/><w:color w:val="404040"/><w:sz w:val="22"/><w:szCs w:val="22"/></w:rPr><w:t xml:space="preserve">Obligatoire pour tous les accès à systèmes IA en production:</w:t></w:r></w:p><0/><w:p><w:pPr><w:pStyle w:val="Heading2"/></w:pPr><w:r><w:t xml:space="preserve">2.3 Authentification par certificat</w:t></w:r></w:p><w:p><w:r><w:rPr><w:rFonts w:ascii="Arial" w:cs="Arial" w:eastAsia="Arial" w:hAnsi="Arial"/><w:color w:val="404040"/><w:sz w:val="22"/><w:szCs w:val="22"/></w:rPr><w:t xml:space="preserve">Pour les accès service-à-service (API, webhooks, batch jobs):</w:t></w:r></w:p><0/><w:p><w:pPr><w:pStyle w:val="Heading1"/></w:pPr><w:r><w:t xml:space="preserve">3. Autorisation basée sur les rôles (RBAC)</w:t></w:r></w:p><w:p><w:pPr><w:pStyle w:val="Heading2"/></w:pPr><w:r><w:t xml:space="preserve">3.1 Définition des rôles</w:t></w:r></w:p><w:p><w:r><w:rPr><w:rFonts w:ascii="Arial" w:cs="Arial" w:eastAsia="Arial" w:hAnsi="Arial"/><w:color w:val="404040"/><w:sz w:val="22"/><w:szCs w:val="22"/></w:rPr><w:t xml:space="preserve">Les rôles types pour systèmes d&apos;IA: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500"/><w:gridCol w:w="3360"/></w:tblGrid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Rôle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Description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Permissions typiques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Data Scientist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Développement et entraînement de modèles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Accès en R/D, données historiques anonymisées, modèles en développement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ML Engineer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Déploiement et opérations de modèles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Accès à modèles approuvés, logs, monitoring, déploiement avec approbation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Admin IA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Gestion globale des systèmes IA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Accès administrateur limité, gestion d&apos;utilisateurs, configuration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Opérateur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Support et monitoring en production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Lecture seule des modèles en production, logs, alertes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Auditeur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Audit et compliance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Accès en lecture seule à tous les logs et registres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DPO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Responsable de la protection des données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Accès aux registres de traitement, données personnelles en contexte compliance</w:t></w:r></w:p></w:tc></w:tr></w:tbl><w:p><w:pPr><w:pStyle w:val="Heading2"/></w:pPr><w:r><w:t xml:space="preserve">3.2 Attribution des rôles</w:t></w:r></w:p><0/><w:p><w:pPr><w:pStyle w:val="Heading1"/></w:pPr><w:r><w:t xml:space="preserve">4. Niveaux d&apos;accès par environnement</w:t></w:r></w:p><w:p><w:pPr><w:pStyle w:val="Heading2"/></w:pPr><w:r><w:t xml:space="preserve">4.1 Environnement de développement</w:t></w:r></w:p><0/><w:p><w:pPr><w:pStyle w:val="Heading2"/></w:pPr><w:r><w:t xml:space="preserve">4.2 Environnement de test/staging</w:t></w:r></w:p><0/><w:p><w:pPr><w:pStyle w:val="Heading2"/></w:pPr><w:r><w:t xml:space="preserve">4.3 Environnement de production</w:t></w:r></w:p><0/><w:p><w:pPr><w:pStyle w:val="Heading1"/></w:pPr><w:r><w:t xml:space="preserve">5. Gestion des accès privilégiés</w:t></w:r></w:p><w:p><w:pPr><w:pStyle w:val="Heading2"/></w:pPr><w:r><w:t xml:space="preserve">5.1 Escalade temporaire</w:t></w:r></w:p><w:p><w:r><w:rPr><w:rFonts w:ascii="Arial" w:cs="Arial" w:eastAsia="Arial" w:hAnsi="Arial"/><w:color w:val="404040"/><w:sz w:val="22"/><w:szCs w:val="22"/></w:rPr><w:t xml:space="preserve">Pour actions critiques en production:</w:t></w:r></w:p><0/><w:p><w:pPr><w:pStyle w:val="Heading2"/></w:pPr><w:r><w:t xml:space="preserve">5.2 Comptes de service</w:t></w:r></w:p><0/><w:p><w:pPr><w:pStyle w:val="Heading1"/></w:pPr><w:r><w:t xml:space="preserve">6. Révision et audit des accès</w:t></w:r></w:p><w:p><w:pPr><w:pStyle w:val="Heading2"/></w:pPr><w:r><w:t xml:space="preserve">6.1 Révision trimestrielle</w:t></w:r></w:p><w:p><w:r><w:rPr><w:rFonts w:ascii="Arial" w:cs="Arial" w:eastAsia="Arial" w:hAnsi="Arial"/><w:color w:val="404040"/><w:sz w:val="22"/><w:szCs w:val="22"/></w:rPr><w:t xml:space="preserve">Chaque trimestre, pour chaque utilisateur:</w:t></w:r></w:p><0/><w:p><w:pPr><w:pStyle w:val="Heading2"/></w:pPr><w:r><w:t xml:space="preserve">6.2 Révision lors de changement de rôle</w:t></w:r></w:p><0/><w:p><w:pPr><w:pStyle w:val="Heading2"/></w:pPr><w:r><w:t xml:space="preserve">6.3 Audit complet annuel</w:t></w:r></w:p><w:p><w:r><w:rPr><w:rFonts w:ascii="Arial" w:cs="Arial" w:eastAsia="Arial" w:hAnsi="Arial"/><w:color w:val="404040"/><w:sz w:val="22"/><w:szCs w:val="22"/></w:rPr><w:t xml:space="preserve">Audit externe annuel pour vérifier:</w:t></w:r></w:p><0/><w:p><w:pPr><w:pStyle w:val="Heading1"/></w:pPr><w:r><w:t xml:space="preserve">7. Journalisation et monitoring</w:t></w:r></w:p><w:p><w:pPr><w:pStyle w:val="Heading2"/></w:pPr><w:r><w:t xml:space="preserve">7.1 Événements loggés</w:t></w:r></w:p><w:p><w:r><w:rPr><w:rFonts w:ascii="Arial" w:cs="Arial" w:eastAsia="Arial" w:hAnsi="Arial"/><w:color w:val="404040"/><w:sz w:val="22"/><w:szCs w:val="22"/></w:rPr><w:t xml:space="preserve">Tous les événements suivants sont enregistrés:</w:t></w:r></w:p><0/><w:p><w:pPr><w:pStyle w:val="Heading2"/></w:pPr><w:r><w:t xml:space="preserve">7.2 Conservation des logs</w:t></w:r></w:p><0/><w:p><w:pPr><w:pStyle w:val="Heading2"/></w:pPr><w:r><w:t xml:space="preserve">7.3 Monitoring en temps réel</w:t></w:r></w:p><0/><w:p><w:pPr><w:pStyle w:val="Heading1"/></w:pPr><w:r><w:t xml:space="preserve">8. Segmentation et isolation</w:t></w:r></w:p><w:p><w:pPr><w:pStyle w:val="Heading2"/></w:pPr><w:r><w:t xml:space="preserve">8.1 Segmentation des données</w:t></w:r></w:p><0/><w:p><w:pPr><w:pStyle w:val="Heading2"/></w:pPr><w:r><w:t xml:space="preserve">8.2 Isolation des environnements</w:t></w:r></w:p><0/><w:p><w:pPr><w:pStyle w:val="Heading1"/></w:pPr><w:r><w:t xml:space="preserve">9. Gestion des utilisateurs externes</w:t></w:r></w:p><w:p><w:pPr><w:pStyle w:val="Heading2"/></w:pPr><w:r><w:t xml:space="preserve">9.1 Contractors et fournisseurs</w:t></w:r></w:p><0/><w:p><w:pPr><w:pStyle w:val="Heading2"/></w:pPr><w:r><w:t xml:space="preserve">9.2 Chercheurs et visiteurs</w:t></w:r></w:p><0/><w:p><w:pPr><w:pStyle w:val="Heading1"/></w:pPr><w:r><w:t xml:space="preserve">10. Incident et réponse d&apos;accès</w:t></w:r></w:p><w:p><w:pPr><w:pStyle w:val="Heading2"/></w:pPr><w:r><w:t xml:space="preserve">10.1 Compromission suspectée</w:t></w:r></w:p><w:p><w:r><w:rPr><w:rFonts w:ascii="Arial" w:cs="Arial" w:eastAsia="Arial" w:hAnsi="Arial"/><w:color w:val="404040"/><w:sz w:val="22"/><w:szCs w:val="22"/></w:rPr><w:t xml:space="preserve">Si compte compromis ou accès non autorisé suspectée:</w:t></w:r></w:p><0/><w:p><w:pPr><w:pStyle w:val="Heading1"/></w:pPr><w:r><w:t xml:space="preserve">11. Formation et sensibilisation</w:t></w:r></w:p><w:p><w:r><w:rPr><w:rFonts w:ascii="Arial" w:cs="Arial" w:eastAsia="Arial" w:hAnsi="Arial"/><w:color w:val="404040"/><w:sz w:val="22"/><w:szCs w:val="22"/></w:rPr><w:t xml:space="preserve">Tous les utilisateurs reçoivent une formation annuelle:</w:t></w:r></w:p><0/><w:p><w:pPr><w:pStyle w:val="Heading1"/></w:pPr><w:r><w:t xml:space="preserve">12. Exceptions et dérogations</w:t></w:r></w:p><w:p><w:pPr><w:pStyle w:val="Heading2"/></w:pPr><w:r><w:t xml:space="preserve">12.1 Processus de dérogation</w:t></w:r></w:p><w:p><w:r><w:rPr><w:rFonts w:ascii="Arial" w:cs="Arial" w:eastAsia="Arial" w:hAnsi="Arial"/><w:color w:val="404040"/><w:sz w:val="22"/><w:szCs w:val="22"/></w:rPr><w:t xml:space="preserve">Exceptions temporaires (maximum 90 jours):</w:t></w:r></w:p><0/><w:p><w:pPr><w:pStyle w:val="Heading2"/></w:pPr><w:r><w:t xml:space="preserve">12.2 Documentation</w:t></w:r></w:p><0/><w:p><w:pPr><w:pStyle w:val="Heading1"/></w:pPr><w:r><w:t xml:space="preserve">Révision et gouvernance</w:t></w:r></w:p><w:p><w:r><w:rPr><w:rFonts w:ascii="Arial" w:cs="Arial" w:eastAsia="Arial" w:hAnsi="Arial"/><w:color w:val="404040"/><w:sz w:val="22"/><w:szCs w:val="22"/></w:rPr><w:t xml:space="preserve">Le présent document fait l&apos;objet d&apos;une révision annuelle ou lors de tout changement significatif dans l&apos;environnement réglementaire, technologique ou organisationnel.</w:t></w:r></w:p><w:p><w:pPr><w:pStyle w:val="Heading2"/></w:pPr><w:r><w:t xml:space="preserve">Critères déclenchant une révision anticipée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Modification substantielle de la législation applicable (Loi 25, C-27/LIAD, EU AI Act)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Incident majeur lié à l&apos;IA au sein de l&apos;organisation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Changement organisationnel significatif (fusion, acquisition, restructuration)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Évolution technologique majeure impactant les systèmes IA en place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Recommandation issue d&apos;un audit interne ou externe</w:t></w:r></w:p><w:p><w:pPr><w:pStyle w:val="Heading2"/></w:pPr><w:r><w:t xml:space="preserve">Processus de révision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responsable du document initie la révision selon le calendrier établi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parties prenantes sont consultées et fournissent leurs commentaires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modifications sont documentées dans l&apos;historique des versions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document révisé est soumis à l&apos;approbation de l&apos;autorité compétente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La version approuvée est diffusée et les parties prenantes sont informées</w:t></w:r></w:p><w:p><w:pPr><w:spacing w:before="200"/></w:pPr></w:p><w:p><w:pPr><w:pStyle w:val="Heading1"/></w:pPr><w:r><w:t xml:space="preserve">Annexe A - Glossaire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Terme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Définition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Intelligence artificielle (IA)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Ensemble de techniques permettant à des machines de simuler des capacités cognitives humaines telles que l&apos;apprentissage, le raisonnement et la prise de décision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IA générative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 de systèmes d&apos;IA capables de générer du contenu original (texte, images, code, audio) à partir de modèles entraînés sur de grands ensembles de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de langage (LLM)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d&apos;IA entraîné sur de vastes corpus de texte, capable de comprendre et générer du langage naturel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Tendance systématique d&apos;un système d&apos;IA à produire des résultats inéquitables en raison de données d&apos;entraînement ou de choix de conception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Renseignement personnel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Selon la Loi 25, tout renseignement qui concerne une personne physique et permet directement ou indirectement de l&apos;identifier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modernisant des dispositions législatives en matière de protection des renseignements personnels (Québec, 2021-2024)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LIAD (C-27)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sur l&apos;intelligence artificielle et les données, partie du projet de loi fédéral C-27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EU AI Act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Règlement européen sur l&apos;intelligence artificielle (Règlement (UE) 2024/1689)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ÉIVP / PIA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des impacts sur la vie privée / Privacy Impact Assessment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Explicabilité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Capacité à expliquer de manière compréhensible le fonctionnement et les décisions d&apos;un système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Authentification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Vérification de l&apos;identité d&apos;un utilisateur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Autorisation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Contrôle de ce qu&apos;un utilisateur peut faire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RBAC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Contrôle d&apos;accès basé sur les rôles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MFA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Authentification multi-facteurs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Moindre privilège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Accès minimal nécessaire pour accomplir une tâche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Document confidentiel - [NOM_ORGANISATION]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[NOM_ORGANISATION]</w:t>
    </w: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	Politique de gestion des accès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2026-03-05T02:27:12.068Z</dcterms:created>
  <dcterms:modified xsi:type="dcterms:W3CDTF">2026-03-05T02:27:12.068Z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