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cadre de gestion des risques IA</w:t>
      </w:r>
    </w:p>
    <w:p>
      <w:pPr>
        <w:spacing w:after="600"/>
        <w:jc w:val="center"/>
      </w:pPr>
      <w:r>
        <w:rPr>
          <w:rFonts w:ascii="Arial" w:cs="Arial" w:eastAsia="Arial" w:hAnsi="Arial"/>
          <w:color w:val="2E75B6"/>
          <w:sz w:val="24"/>
          <w:szCs w:val="24"/>
        </w:rPr>
        <w:t xml:space="preserve">méthodologie globale d'identification, analyse et traitement des risques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La gestion des risques liés aux systèmes d'intelligence artificielle est essentielle pour les organisations opérant au Québec et au Canada. Ce cadre s'inspire des meilleures pratiques internationales (NIST AI RMF, ISO 23894) et s'aligné avec les exigences de la Loi 25 et du projet de loi C-27 (LIAD).</w:t>
      </w:r>
    </w:p>
    <w:p>
      <w:pPr>
        <w:pStyle w:val="Heading2"/>
      </w:pPr>
      <w:r>
        <w:t xml:space="preserve">Pourquoi une gestion des risques IA ?</w:t>
      </w:r>
    </w:p>
    <w:p>
      <w:pPr>
        <w:pStyle w:val="ListParagraph"/>
        <w:numPr>
          <w:ilvl w:val="0"/>
          <w:numId w:val="2"/>
        </w:numPr>
      </w:pPr>
      <w:r>
        <w:rPr>
          <w:rFonts w:ascii="Arial" w:cs="Arial" w:eastAsia="Arial" w:hAnsi="Arial"/>
          <w:color w:val="404040"/>
          <w:sz w:val="22"/>
          <w:szCs w:val="22"/>
        </w:rPr>
        <w:t xml:space="preserve">Les systèmes IA peuvent générer des risques non intentionnels : biais de décision, atteintes à la vie privée, sécurité insuffisante</w:t>
      </w:r>
    </w:p>
    <w:p>
      <w:pPr>
        <w:pStyle w:val="ListParagraph"/>
        <w:numPr>
          <w:ilvl w:val="0"/>
          <w:numId w:val="2"/>
        </w:numPr>
      </w:pPr>
      <w:r>
        <w:rPr>
          <w:rFonts w:ascii="Arial" w:cs="Arial" w:eastAsia="Arial" w:hAnsi="Arial"/>
          <w:color w:val="404040"/>
          <w:sz w:val="22"/>
          <w:szCs w:val="22"/>
        </w:rPr>
        <w:t xml:space="preserve">Les réglementations du Québec et du Canada imposent une responsabilité croissante aux organisations</w:t>
      </w:r>
    </w:p>
    <w:p>
      <w:pPr>
        <w:pStyle w:val="ListParagraph"/>
        <w:numPr>
          <w:ilvl w:val="0"/>
          <w:numId w:val="2"/>
        </w:numPr>
      </w:pPr>
      <w:r>
        <w:rPr>
          <w:rFonts w:ascii="Arial" w:cs="Arial" w:eastAsia="Arial" w:hAnsi="Arial"/>
          <w:color w:val="404040"/>
          <w:sz w:val="22"/>
          <w:szCs w:val="22"/>
        </w:rPr>
        <w:t xml:space="preserve">Un cadre structuré réduit les impacts négatifs et augmente la confiance des parties prenantes</w:t>
      </w:r>
    </w:p>
    <w:p>
      <w:pPr>
        <w:pStyle w:val="ListParagraph"/>
        <w:numPr>
          <w:ilvl w:val="0"/>
          <w:numId w:val="2"/>
        </w:numPr>
      </w:pPr>
      <w:r>
        <w:rPr>
          <w:rFonts w:ascii="Arial" w:cs="Arial" w:eastAsia="Arial" w:hAnsi="Arial"/>
          <w:color w:val="404040"/>
          <w:sz w:val="22"/>
          <w:szCs w:val="22"/>
        </w:rPr>
        <w:t xml:space="preserve">La gestion proactive des risques permet une innovation responsable</w:t>
      </w:r>
    </w:p>
    <w:p>
      <w:pPr>
        <w:pStyle w:val="Heading2"/>
      </w:pPr>
      <w:r>
        <w:t xml:space="preserve">Champ d'application</w:t>
      </w:r>
    </w:p>
    <w:p>
      <w:r>
        <w:rPr>
          <w:rFonts w:ascii="Arial" w:cs="Arial" w:eastAsia="Arial" w:hAnsi="Arial"/>
          <w:color w:val="404040"/>
          <w:sz w:val="22"/>
          <w:szCs w:val="22"/>
        </w:rPr>
        <w:t xml:space="preserve">Ce cadre s'applique à tous les systèmes d'IA développés, acquis ou utilisés par [NOM_ORGANISATION], qu'ils soient génératifs ou spécialisés, en production ou en pilote.</w:t>
      </w:r>
    </w:p>
    <w:p>
      <w:pPr>
        <w:spacing w:before="200"/>
      </w:pPr>
    </w:p>
    <w:p>
      <w:pPr>
        <w:pStyle w:val="Heading1"/>
      </w:pPr>
      <w:r>
        <w:t xml:space="preserve">principes fondamentaux</w:t>
      </w:r>
    </w:p>
    <w:p>
      <w:r>
        <w:rPr>
          <w:rFonts w:ascii="Arial" w:cs="Arial" w:eastAsia="Arial" w:hAnsi="Arial"/>
          <w:color w:val="404040"/>
          <w:sz w:val="22"/>
          <w:szCs w:val="22"/>
        </w:rPr>
        <w:t xml:space="preserve">La gestion des risques IA repose sur les principes suivants :</w:t>
      </w:r>
    </w:p>
    <w:p>
      <w:pPr>
        <w:pStyle w:val="Heading2"/>
      </w:pPr>
      <w:r>
        <w:t xml:space="preserve">1. Transparence et explicabilité</w:t>
      </w:r>
    </w:p>
    <w:p>
      <w:r>
        <w:rPr>
          <w:rFonts w:ascii="Arial" w:cs="Arial" w:eastAsia="Arial" w:hAnsi="Arial"/>
          <w:color w:val="404040"/>
          <w:sz w:val="22"/>
          <w:szCs w:val="22"/>
        </w:rPr>
        <w:t xml:space="preserve">Les systèmes IA et leur utilisation doivent être documentées et explicables aux personnes concernées.</w:t>
      </w:r>
    </w:p>
    <w:p>
      <w:pPr>
        <w:pStyle w:val="Heading2"/>
      </w:pPr>
      <w:r>
        <w:t xml:space="preserve">2. responsabilité</w:t>
      </w:r>
    </w:p>
    <w:p>
      <w:r>
        <w:rPr>
          <w:rFonts w:ascii="Arial" w:cs="Arial" w:eastAsia="Arial" w:hAnsi="Arial"/>
          <w:color w:val="404040"/>
          <w:sz w:val="22"/>
          <w:szCs w:val="22"/>
        </w:rPr>
        <w:t xml:space="preserve">Chaque système IA a un propriétaire identifié qui assume la responsabilité de sa gestion et de ses résultats.</w:t>
      </w:r>
    </w:p>
    <w:p>
      <w:pPr>
        <w:pStyle w:val="Heading2"/>
      </w:pPr>
      <w:r>
        <w:t xml:space="preserve">3. Équité et non-discrimination</w:t>
      </w:r>
    </w:p>
    <w:p>
      <w:r>
        <w:rPr>
          <w:rFonts w:ascii="Arial" w:cs="Arial" w:eastAsia="Arial" w:hAnsi="Arial"/>
          <w:color w:val="404040"/>
          <w:sz w:val="22"/>
          <w:szCs w:val="22"/>
        </w:rPr>
        <w:t xml:space="preserve">Les systèmes IA ne doivent pas générer de discrimination fondée sur des caractéristiques protégées (sexe, âge, origine, handicap, etc.) au regard des lois du Québec et du Canada.</w:t>
      </w:r>
    </w:p>
    <w:p>
      <w:pPr>
        <w:pStyle w:val="Heading2"/>
      </w:pPr>
      <w:r>
        <w:t xml:space="preserve">4. respect de la vie privée</w:t>
      </w:r>
    </w:p>
    <w:p>
      <w:r>
        <w:rPr>
          <w:rFonts w:ascii="Arial" w:cs="Arial" w:eastAsia="Arial" w:hAnsi="Arial"/>
          <w:color w:val="404040"/>
          <w:sz w:val="22"/>
          <w:szCs w:val="22"/>
        </w:rPr>
        <w:t xml:space="preserve">La collecte et l'utilisation de renseignements personnels par les systèmes IA doivent respecter la Loi 25 et les bonnes pratiques en matière de protection des données.</w:t>
      </w:r>
    </w:p>
    <w:p>
      <w:pPr>
        <w:pStyle w:val="Heading2"/>
      </w:pPr>
      <w:r>
        <w:t xml:space="preserve">5. Sécurité et robustesse</w:t>
      </w:r>
    </w:p>
    <w:p>
      <w:r>
        <w:rPr>
          <w:rFonts w:ascii="Arial" w:cs="Arial" w:eastAsia="Arial" w:hAnsi="Arial"/>
          <w:color w:val="404040"/>
          <w:sz w:val="22"/>
          <w:szCs w:val="22"/>
        </w:rPr>
        <w:t xml:space="preserve">Les systèmes IA doivent être protégés contre les accès non autorisés et les perturbations malveillantes.</w:t>
      </w:r>
    </w:p>
    <w:p>
      <w:pPr>
        <w:pStyle w:val="Heading2"/>
      </w:pPr>
      <w:r>
        <w:t xml:space="preserve">6. Amélioration continue</w:t>
      </w:r>
    </w:p>
    <w:p>
      <w:r>
        <w:rPr>
          <w:rFonts w:ascii="Arial" w:cs="Arial" w:eastAsia="Arial" w:hAnsi="Arial"/>
          <w:color w:val="404040"/>
          <w:sz w:val="22"/>
          <w:szCs w:val="22"/>
        </w:rPr>
        <w:t xml:space="preserve">La gestion des risques IA est un processus dynamique qui s'adapte aux évolutions technologiques et réglementaires.</w:t>
      </w:r>
    </w:p>
    <w:p>
      <w:pPr>
        <w:spacing w:before="200"/>
      </w:pPr>
    </w:p>
    <w:p>
      <w:pPr>
        <w:pStyle w:val="Heading1"/>
      </w:pPr>
      <w:r>
        <w:t xml:space="preserve">Taxonomie des risques IA</w:t>
      </w:r>
    </w:p>
    <w:p>
      <w:r>
        <w:rPr>
          <w:rFonts w:ascii="Arial" w:cs="Arial" w:eastAsia="Arial" w:hAnsi="Arial"/>
          <w:color w:val="404040"/>
          <w:sz w:val="22"/>
          <w:szCs w:val="22"/>
        </w:rPr>
        <w:t xml:space="preserve">Les risques liés à l'IA peuvent être classés selon les catégories suivantes :</w:t>
      </w:r>
    </w:p>
    <w:p>
      <w:pPr>
        <w:pStyle w:val="Heading2"/>
      </w:pPr>
      <w:r>
        <w:t xml:space="preserve">Risques de discrimination et de biais</w:t>
      </w:r>
    </w:p>
    <w:p>
      <w:pPr>
        <w:pStyle w:val="ListParagraph"/>
        <w:numPr>
          <w:ilvl w:val="0"/>
          <w:numId w:val="2"/>
        </w:numPr>
      </w:pPr>
      <w:r>
        <w:rPr>
          <w:rFonts w:ascii="Arial" w:cs="Arial" w:eastAsia="Arial" w:hAnsi="Arial"/>
          <w:color w:val="404040"/>
          <w:sz w:val="22"/>
          <w:szCs w:val="22"/>
        </w:rPr>
        <w:t xml:space="preserve">Biais dans les données d'entraînement reflétant des inégalités historiques</w:t>
      </w:r>
    </w:p>
    <w:p>
      <w:pPr>
        <w:pStyle w:val="ListParagraph"/>
        <w:numPr>
          <w:ilvl w:val="0"/>
          <w:numId w:val="2"/>
        </w:numPr>
      </w:pPr>
      <w:r>
        <w:rPr>
          <w:rFonts w:ascii="Arial" w:cs="Arial" w:eastAsia="Arial" w:hAnsi="Arial"/>
          <w:color w:val="404040"/>
          <w:sz w:val="22"/>
          <w:szCs w:val="22"/>
        </w:rPr>
        <w:t xml:space="preserve">Biais algorithmique généré par la conception du modèle</w:t>
      </w:r>
    </w:p>
    <w:p>
      <w:pPr>
        <w:pStyle w:val="ListParagraph"/>
        <w:numPr>
          <w:ilvl w:val="0"/>
          <w:numId w:val="2"/>
        </w:numPr>
      </w:pPr>
      <w:r>
        <w:rPr>
          <w:rFonts w:ascii="Arial" w:cs="Arial" w:eastAsia="Arial" w:hAnsi="Arial"/>
          <w:color w:val="404040"/>
          <w:sz w:val="22"/>
          <w:szCs w:val="22"/>
        </w:rPr>
        <w:t xml:space="preserve">Biais de décision amplifié par une confiance excessive dans le système IA</w:t>
      </w:r>
    </w:p>
    <w:p>
      <w:pPr>
        <w:pStyle w:val="Heading2"/>
      </w:pPr>
      <w:r>
        <w:t xml:space="preserve">Risques de confidentialité et de sécurité</w:t>
      </w:r>
    </w:p>
    <w:p>
      <w:pPr>
        <w:pStyle w:val="ListParagraph"/>
        <w:numPr>
          <w:ilvl w:val="0"/>
          <w:numId w:val="2"/>
        </w:numPr>
      </w:pPr>
      <w:r>
        <w:rPr>
          <w:rFonts w:ascii="Arial" w:cs="Arial" w:eastAsia="Arial" w:hAnsi="Arial"/>
          <w:color w:val="404040"/>
          <w:sz w:val="22"/>
          <w:szCs w:val="22"/>
        </w:rPr>
        <w:t xml:space="preserve">Divulgation non autorisée de données personnelles par le système IA</w:t>
      </w:r>
    </w:p>
    <w:p>
      <w:pPr>
        <w:pStyle w:val="ListParagraph"/>
        <w:numPr>
          <w:ilvl w:val="0"/>
          <w:numId w:val="2"/>
        </w:numPr>
      </w:pPr>
      <w:r>
        <w:rPr>
          <w:rFonts w:ascii="Arial" w:cs="Arial" w:eastAsia="Arial" w:hAnsi="Arial"/>
          <w:color w:val="404040"/>
          <w:sz w:val="22"/>
          <w:szCs w:val="22"/>
        </w:rPr>
        <w:t xml:space="preserve">Inversion de données d'entraînement (data reconstruction)</w:t>
      </w:r>
    </w:p>
    <w:p>
      <w:pPr>
        <w:pStyle w:val="ListParagraph"/>
        <w:numPr>
          <w:ilvl w:val="0"/>
          <w:numId w:val="2"/>
        </w:numPr>
      </w:pPr>
      <w:r>
        <w:rPr>
          <w:rFonts w:ascii="Arial" w:cs="Arial" w:eastAsia="Arial" w:hAnsi="Arial"/>
          <w:color w:val="404040"/>
          <w:sz w:val="22"/>
          <w:szCs w:val="22"/>
        </w:rPr>
        <w:t xml:space="preserve">accès non autorisés aux modèles ou aux données</w:t>
      </w:r>
    </w:p>
    <w:p>
      <w:pPr>
        <w:pStyle w:val="ListParagraph"/>
        <w:numPr>
          <w:ilvl w:val="0"/>
          <w:numId w:val="2"/>
        </w:numPr>
      </w:pPr>
      <w:r>
        <w:rPr>
          <w:rFonts w:ascii="Arial" w:cs="Arial" w:eastAsia="Arial" w:hAnsi="Arial"/>
          <w:color w:val="404040"/>
          <w:sz w:val="22"/>
          <w:szCs w:val="22"/>
        </w:rPr>
        <w:t xml:space="preserve">injection d'adversaires pour manipuler les prédictions</w:t>
      </w:r>
    </w:p>
    <w:p>
      <w:pPr>
        <w:pStyle w:val="Heading2"/>
      </w:pPr>
      <w:r>
        <w:t xml:space="preserve">Risques opérationnels et de fiabilité</w:t>
      </w:r>
    </w:p>
    <w:p>
      <w:pPr>
        <w:pStyle w:val="ListParagraph"/>
        <w:numPr>
          <w:ilvl w:val="0"/>
          <w:numId w:val="2"/>
        </w:numPr>
      </w:pPr>
      <w:r>
        <w:rPr>
          <w:rFonts w:ascii="Arial" w:cs="Arial" w:eastAsia="Arial" w:hAnsi="Arial"/>
          <w:color w:val="404040"/>
          <w:sz w:val="22"/>
          <w:szCs w:val="22"/>
        </w:rPr>
        <w:t xml:space="preserve">défaillance du système IA ou de ses dépendances (données, infrastructure)</w:t>
      </w:r>
    </w:p>
    <w:p>
      <w:pPr>
        <w:pStyle w:val="ListParagraph"/>
        <w:numPr>
          <w:ilvl w:val="0"/>
          <w:numId w:val="2"/>
        </w:numPr>
      </w:pPr>
      <w:r>
        <w:rPr>
          <w:rFonts w:ascii="Arial" w:cs="Arial" w:eastAsia="Arial" w:hAnsi="Arial"/>
          <w:color w:val="404040"/>
          <w:sz w:val="22"/>
          <w:szCs w:val="22"/>
        </w:rPr>
        <w:t xml:space="preserve">Dérive du modèle au fil du temps (model drift)</w:t>
      </w:r>
    </w:p>
    <w:p>
      <w:pPr>
        <w:pStyle w:val="ListParagraph"/>
        <w:numPr>
          <w:ilvl w:val="0"/>
          <w:numId w:val="2"/>
        </w:numPr>
      </w:pPr>
      <w:r>
        <w:rPr>
          <w:rFonts w:ascii="Arial" w:cs="Arial" w:eastAsia="Arial" w:hAnsi="Arial"/>
          <w:color w:val="404040"/>
          <w:sz w:val="22"/>
          <w:szCs w:val="22"/>
        </w:rPr>
        <w:t xml:space="preserve">Indisponibilité d'un système critique sans mécanisme de secours</w:t>
      </w:r>
    </w:p>
    <w:p>
      <w:pPr>
        <w:pStyle w:val="Heading2"/>
      </w:pPr>
      <w:r>
        <w:t xml:space="preserve">Risques stratégiques et de conformité</w:t>
      </w:r>
    </w:p>
    <w:p>
      <w:pPr>
        <w:pStyle w:val="ListParagraph"/>
        <w:numPr>
          <w:ilvl w:val="0"/>
          <w:numId w:val="2"/>
        </w:numPr>
      </w:pPr>
      <w:r>
        <w:rPr>
          <w:rFonts w:ascii="Arial" w:cs="Arial" w:eastAsia="Arial" w:hAnsi="Arial"/>
          <w:color w:val="404040"/>
          <w:sz w:val="22"/>
          <w:szCs w:val="22"/>
        </w:rPr>
        <w:t xml:space="preserve">Non-conformité avec les exigences de la Loi 25, du C-27 ou de la legislation étrangère</w:t>
      </w:r>
    </w:p>
    <w:p>
      <w:pPr>
        <w:pStyle w:val="ListParagraph"/>
        <w:numPr>
          <w:ilvl w:val="0"/>
          <w:numId w:val="2"/>
        </w:numPr>
      </w:pPr>
      <w:r>
        <w:rPr>
          <w:rFonts w:ascii="Arial" w:cs="Arial" w:eastAsia="Arial" w:hAnsi="Arial"/>
          <w:color w:val="404040"/>
          <w:sz w:val="22"/>
          <w:szCs w:val="22"/>
        </w:rPr>
        <w:t xml:space="preserve">Impact réputationnel en cas d'incident IA public</w:t>
      </w:r>
    </w:p>
    <w:p>
      <w:pPr>
        <w:pStyle w:val="ListParagraph"/>
        <w:numPr>
          <w:ilvl w:val="0"/>
          <w:numId w:val="2"/>
        </w:numPr>
      </w:pPr>
      <w:r>
        <w:rPr>
          <w:rFonts w:ascii="Arial" w:cs="Arial" w:eastAsia="Arial" w:hAnsi="Arial"/>
          <w:color w:val="404040"/>
          <w:sz w:val="22"/>
          <w:szCs w:val="22"/>
        </w:rPr>
        <w:t xml:space="preserve">Inadaptation de la stratégie IA aux orientations organisationnelles</w:t>
      </w:r>
    </w:p>
    <w:p>
      <w:pPr>
        <w:spacing w:before="200"/>
      </w:pPr>
    </w:p>
    <w:p>
      <w:pPr>
        <w:pStyle w:val="Heading1"/>
      </w:pPr>
      <w:r>
        <w:t xml:space="preserve">processus d'évaluation des risques</w:t>
      </w:r>
    </w:p>
    <w:p>
      <w:r>
        <w:rPr>
          <w:rFonts w:ascii="Arial" w:cs="Arial" w:eastAsia="Arial" w:hAnsi="Arial"/>
          <w:color w:val="404040"/>
          <w:sz w:val="22"/>
          <w:szCs w:val="22"/>
        </w:rPr>
        <w:t xml:space="preserve">L'évaluation des risques suit une méthodologie structurée en quatre etapes :</w:t>
      </w:r>
    </w:p>
    <w:p>
      <w:pPr>
        <w:pStyle w:val="Heading2"/>
      </w:pPr>
      <w:r>
        <w:t xml:space="preserve">Étape 1 - Identification des risques</w:t>
      </w:r>
    </w:p>
    <w:p>
      <w:r>
        <w:rPr>
          <w:rFonts w:ascii="Arial" w:cs="Arial" w:eastAsia="Arial" w:hAnsi="Arial"/>
          <w:color w:val="404040"/>
          <w:sz w:val="22"/>
          <w:szCs w:val="22"/>
        </w:rPr>
        <w:t xml:space="preserve">Pour chaque système IA, on identifié les risques potentiels en analysant :</w:t>
      </w:r>
    </w:p>
    <w:p>
      <w:pPr>
        <w:pStyle w:val="ListParagraph"/>
        <w:numPr>
          <w:ilvl w:val="0"/>
          <w:numId w:val="2"/>
        </w:numPr>
      </w:pPr>
      <w:r>
        <w:rPr>
          <w:rFonts w:ascii="Arial" w:cs="Arial" w:eastAsia="Arial" w:hAnsi="Arial"/>
          <w:color w:val="404040"/>
          <w:sz w:val="22"/>
          <w:szCs w:val="22"/>
        </w:rPr>
        <w:t xml:space="preserve">Les données : qualité, biais, confidentialité, completude</w:t>
      </w:r>
    </w:p>
    <w:p>
      <w:pPr>
        <w:pStyle w:val="ListParagraph"/>
        <w:numPr>
          <w:ilvl w:val="0"/>
          <w:numId w:val="2"/>
        </w:numPr>
      </w:pPr>
      <w:r>
        <w:rPr>
          <w:rFonts w:ascii="Arial" w:cs="Arial" w:eastAsia="Arial" w:hAnsi="Arial"/>
          <w:color w:val="404040"/>
          <w:sz w:val="22"/>
          <w:szCs w:val="22"/>
        </w:rPr>
        <w:t xml:space="preserve">L'algorithme : transparence, robustesse, sensibilité aux adversaires</w:t>
      </w:r>
    </w:p>
    <w:p>
      <w:pPr>
        <w:pStyle w:val="ListParagraph"/>
        <w:numPr>
          <w:ilvl w:val="0"/>
          <w:numId w:val="2"/>
        </w:numPr>
      </w:pPr>
      <w:r>
        <w:rPr>
          <w:rFonts w:ascii="Arial" w:cs="Arial" w:eastAsia="Arial" w:hAnsi="Arial"/>
          <w:color w:val="404040"/>
          <w:sz w:val="22"/>
          <w:szCs w:val="22"/>
        </w:rPr>
        <w:t xml:space="preserve">Le déploiement : contexte d'usage, interactions humaines, impacte sur les processus</w:t>
      </w:r>
    </w:p>
    <w:p>
      <w:pPr>
        <w:pStyle w:val="ListParagraph"/>
        <w:numPr>
          <w:ilvl w:val="0"/>
          <w:numId w:val="2"/>
        </w:numPr>
      </w:pPr>
      <w:r>
        <w:rPr>
          <w:rFonts w:ascii="Arial" w:cs="Arial" w:eastAsia="Arial" w:hAnsi="Arial"/>
          <w:color w:val="404040"/>
          <w:sz w:val="22"/>
          <w:szCs w:val="22"/>
        </w:rPr>
        <w:t xml:space="preserve">Le contexte réglementaire et juridique applicable</w:t>
      </w:r>
    </w:p>
    <w:p>
      <w:pPr>
        <w:pStyle w:val="Heading2"/>
      </w:pPr>
      <w:r>
        <w:t xml:space="preserve">Étape 2 - Analyse et scoring des risques</w:t>
      </w:r>
    </w:p>
    <w:p>
      <w:r>
        <w:rPr>
          <w:rFonts w:ascii="Arial" w:cs="Arial" w:eastAsia="Arial" w:hAnsi="Arial"/>
          <w:color w:val="404040"/>
          <w:sz w:val="22"/>
          <w:szCs w:val="22"/>
        </w:rPr>
        <w:t xml:space="preserve">Chaque risque est évaluée selon deux dimensions :</w:t>
      </w:r>
    </w:p>
    <w:p>
      <w:pPr>
        <w:pStyle w:val="ListParagraph"/>
        <w:numPr>
          <w:ilvl w:val="0"/>
          <w:numId w:val="2"/>
        </w:numPr>
      </w:pPr>
      <w:r>
        <w:rPr>
          <w:rFonts w:ascii="Arial" w:cs="Arial" w:eastAsia="Arial" w:hAnsi="Arial"/>
          <w:color w:val="404040"/>
          <w:sz w:val="22"/>
          <w:szCs w:val="22"/>
        </w:rPr>
        <w:t xml:space="preserve">probabilité d'occurrence : Très faible (1) - faible (2) - Moyen (3) - Élevé (4) - Très élevé (5)</w:t>
      </w:r>
    </w:p>
    <w:p>
      <w:pPr>
        <w:pStyle w:val="ListParagraph"/>
        <w:numPr>
          <w:ilvl w:val="0"/>
          <w:numId w:val="2"/>
        </w:numPr>
      </w:pPr>
      <w:r>
        <w:rPr>
          <w:rFonts w:ascii="Arial" w:cs="Arial" w:eastAsia="Arial" w:hAnsi="Arial"/>
          <w:color w:val="404040"/>
          <w:sz w:val="22"/>
          <w:szCs w:val="22"/>
        </w:rPr>
        <w:t xml:space="preserve">Impact potentiel : Négligeable (1) - Mineur (2) - Modéré (3) - Majeur (4) - critique (5)</w:t>
      </w:r>
    </w:p>
    <w:p>
      <w:r>
        <w:rPr>
          <w:rFonts w:ascii="Arial" w:cs="Arial" w:eastAsia="Arial" w:hAnsi="Arial"/>
          <w:color w:val="404040"/>
          <w:sz w:val="22"/>
          <w:szCs w:val="22"/>
        </w:rPr>
        <w:t xml:space="preserve">Le niveau de risque est calculé : niveau = probabilité x Impact. Cette valeur positionne le risque dans une matrice 5x5.</w:t>
      </w:r>
    </w:p>
    <w:p>
      <w:pPr>
        <w:pStyle w:val="Heading2"/>
      </w:pPr>
      <w:r>
        <w:t xml:space="preserve">Étape 3 - Traitement des risques</w:t>
      </w:r>
    </w:p>
    <w:p>
      <w:r>
        <w:rPr>
          <w:rFonts w:ascii="Arial" w:cs="Arial" w:eastAsia="Arial" w:hAnsi="Arial"/>
          <w:color w:val="404040"/>
          <w:sz w:val="22"/>
          <w:szCs w:val="22"/>
        </w:rPr>
        <w:t xml:space="preserve">Pour chaque risque, on définit une stratégie de traitement :</w:t>
      </w:r>
    </w:p>
    <w:p>
      <w:pPr>
        <w:pStyle w:val="ListParagraph"/>
        <w:numPr>
          <w:ilvl w:val="0"/>
          <w:numId w:val="2"/>
        </w:numPr>
      </w:pPr>
      <w:r>
        <w:rPr>
          <w:rFonts w:ascii="Arial" w:cs="Arial" w:eastAsia="Arial" w:hAnsi="Arial"/>
          <w:color w:val="404040"/>
          <w:sz w:val="22"/>
          <w:szCs w:val="22"/>
        </w:rPr>
        <w:t xml:space="preserve">Éviter : Éliminer le risque en supprimant l'activite ou en changeant l'approche</w:t>
      </w:r>
    </w:p>
    <w:p>
      <w:pPr>
        <w:pStyle w:val="ListParagraph"/>
        <w:numPr>
          <w:ilvl w:val="0"/>
          <w:numId w:val="2"/>
        </w:numPr>
      </w:pPr>
      <w:r>
        <w:rPr>
          <w:rFonts w:ascii="Arial" w:cs="Arial" w:eastAsia="Arial" w:hAnsi="Arial"/>
          <w:color w:val="404040"/>
          <w:sz w:val="22"/>
          <w:szCs w:val="22"/>
        </w:rPr>
        <w:t xml:space="preserve">réduire : Implémenter des mesures techniques ou organisationnelles pour diminuer la probabilité ou l'impact</w:t>
      </w:r>
    </w:p>
    <w:p>
      <w:pPr>
        <w:pStyle w:val="ListParagraph"/>
        <w:numPr>
          <w:ilvl w:val="0"/>
          <w:numId w:val="2"/>
        </w:numPr>
      </w:pPr>
      <w:r>
        <w:rPr>
          <w:rFonts w:ascii="Arial" w:cs="Arial" w:eastAsia="Arial" w:hAnsi="Arial"/>
          <w:color w:val="404040"/>
          <w:sz w:val="22"/>
          <w:szCs w:val="22"/>
        </w:rPr>
        <w:t xml:space="preserve">Accepter : Tolérer le risque car il est inférieur aux seuils définis</w:t>
      </w:r>
    </w:p>
    <w:p>
      <w:pPr>
        <w:pStyle w:val="ListParagraph"/>
        <w:numPr>
          <w:ilvl w:val="0"/>
          <w:numId w:val="2"/>
        </w:numPr>
      </w:pPr>
      <w:r>
        <w:rPr>
          <w:rFonts w:ascii="Arial" w:cs="Arial" w:eastAsia="Arial" w:hAnsi="Arial"/>
          <w:color w:val="404040"/>
          <w:sz w:val="22"/>
          <w:szCs w:val="22"/>
        </w:rPr>
        <w:t xml:space="preserve">Transférer : Assurer le risque par exemple via une couverture d'assurance</w:t>
      </w:r>
    </w:p>
    <w:p>
      <w:pPr>
        <w:pStyle w:val="Heading2"/>
      </w:pPr>
      <w:r>
        <w:t xml:space="preserve">Étape 4 - Suivi et révision</w:t>
      </w:r>
    </w:p>
    <w:p>
      <w:r>
        <w:rPr>
          <w:rFonts w:ascii="Arial" w:cs="Arial" w:eastAsia="Arial" w:hAnsi="Arial"/>
          <w:color w:val="404040"/>
          <w:sz w:val="22"/>
          <w:szCs w:val="22"/>
        </w:rPr>
        <w:t xml:space="preserve">Un suivi régulier du registre des risques vérifie que les mesures d'atténuation sont efficaces et que les risques demeurent acceptables. Le registre est révisé au minimum annuellement ou lors de changements organisationnels majeurs.</w:t>
      </w:r>
    </w:p>
    <w:p>
      <w:pPr>
        <w:spacing w:before="200"/>
      </w:pPr>
    </w:p>
    <w:p>
      <w:pPr>
        <w:pStyle w:val="Heading1"/>
      </w:pPr>
      <w:r>
        <w:t xml:space="preserve">Niveaux de tolérance au risque</w:t>
      </w:r>
    </w:p>
    <w:p>
      <w:r>
        <w:rPr>
          <w:rFonts w:ascii="Arial" w:cs="Arial" w:eastAsia="Arial" w:hAnsi="Arial"/>
          <w:color w:val="404040"/>
          <w:sz w:val="22"/>
          <w:szCs w:val="22"/>
        </w:rPr>
        <w:t xml:space="preserve">L'organisation définit des seuils de tolérance par catégorie de risque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catégorie de risque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 de tolérance</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 d'IA impactee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discrimination et biais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&lt;= 9</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systèmes de recrutement, d'octroi de crédit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confidentialité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&lt;= 6</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systèmes traitant des renseignements sensibles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fiabilité opérationnelle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&lt;= 12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systèmes critiques pour les opérations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réglementaire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&lt;= 8</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Tous les systèmes (Loi 25, C-27)</w:t>
            </w:r>
          </w:p>
        </w:tc>
      </w:tr>
    </w:tbl>
    <w:p>
      <w:r>
        <w:rPr>
          <w:rFonts w:ascii="Arial" w:cs="Arial" w:eastAsia="Arial" w:hAnsi="Arial"/>
          <w:color w:val="404040"/>
          <w:sz w:val="22"/>
          <w:szCs w:val="22"/>
        </w:rPr>
        <w:t xml:space="preserve">Les risques dépassant ces seuils requièrent un plan de mitigation ou ne peuvent être acceptes.</w:t>
      </w:r>
    </w:p>
    <w:p>
      <w:pPr>
        <w:spacing w:before="200"/>
      </w:pPr>
    </w:p>
    <w:p>
      <w:pPr>
        <w:pStyle w:val="Heading1"/>
      </w:pPr>
      <w:r>
        <w:t xml:space="preserve">gouvernance des risques</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des risques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l'évaluation et le suivi des risques, maintient le registre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propriétaire du système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identifié les risques de son système et met en œuvre les mesures d'atténuation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Comite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les stratégies de traitement des risques et les seuils de tolérance</w:t>
            </w:r>
          </w:p>
        </w:tc>
      </w:tr>
    </w:tbl>
    <w:p>
      <w:pPr>
        <w:spacing w:before="200"/>
      </w:pP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NIST AI Risk Management Framework 1.0</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d'IA critique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dont la défaillance pourrait avoir un impact important sur les opérations ou affecter les droits des personnes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matrice de risque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Représentation visuelle 5x5 de la probabilité et de l'impact des risques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 d'atténuation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Action technique ou organisationnelle visant a réduire la probabilité ou l'impact d'un risque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cadre de gestion des risques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2026-03-05T02:24:49.038Z</dcterms:created>
  <dcterms:modified xsi:type="dcterms:W3CDTF">2026-03-05T02:24:49.039Z</dcterms:modified>
</cp:coreProperties>
</file>

<file path=docProps/custom.xml><?xml version="1.0" encoding="utf-8"?>
<Properties xmlns="http://schemas.openxmlformats.org/officeDocument/2006/custom-properties" xmlns:vt="http://schemas.openxmlformats.org/officeDocument/2006/docPropsVTypes"/>
</file>