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registre des risques IA</w:t>
      </w:r>
    </w:p>
    <w:p>
      <w:pPr>
        <w:spacing w:after="600"/>
        <w:jc w:val="center"/>
      </w:pPr>
      <w:r>
        <w:rPr>
          <w:rFonts w:ascii="Arial" w:cs="Arial" w:eastAsia="Arial" w:hAnsi="Arial"/>
          <w:color w:val="2E75B6"/>
          <w:sz w:val="24"/>
          <w:szCs w:val="24"/>
        </w:rPr>
        <w:t xml:space="preserve">Template structurée avec exemples de risques types pre-identifies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Le registre des risques IA est un outil de suivi opérationnel qui documente tous les risques identifies et leurs mesures d'atténuation. Il est maintenu par le responsable des risques IA et révisé trimestriellement.</w:t>
      </w:r>
    </w:p>
    <w:p>
      <w:pPr>
        <w:spacing w:before="200"/>
      </w:pPr>
    </w:p>
    <w:p>
      <w:pPr>
        <w:pStyle w:val="Heading1"/>
      </w:pPr>
      <w:r>
        <w:t xml:space="preserve">éléments du registre</w:t>
      </w:r>
    </w:p>
    <w:p>
      <w:r>
        <w:rPr>
          <w:rFonts w:ascii="Arial" w:cs="Arial" w:eastAsia="Arial" w:hAnsi="Arial"/>
          <w:color w:val="404040"/>
          <w:sz w:val="22"/>
          <w:szCs w:val="22"/>
        </w:rPr>
        <w:t xml:space="preserve">Chaque entrée du registre contient les éléments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Format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 du risque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Identifiant unique (ex. RISQUE-2024-001)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IA concerné</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et version du système IA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du risque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détaillée du risque potentiel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 libre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discrimination, confidentialité, fiabilité, conformité</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sélection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probabilité</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 (Très faible a Très élevé)</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 (Négligeable a critique)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de risque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probabilité x Impact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identifié, En atténuation, Atténué, Accepte, Evite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sélection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 d'atténuation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Actions pour réduire le risque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 libre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propriétaire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et titre du responsable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Texte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d'identification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découverte du risque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révision prevue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Prochaine date de réévaluation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bl>
    <w:p>
      <w:pPr>
        <w:spacing w:before="200"/>
      </w:pPr>
    </w:p>
    <w:p>
      <w:pPr>
        <w:pStyle w:val="Heading1"/>
      </w:pPr>
      <w:r>
        <w:t xml:space="preserve">Risques types pré-identifiés</w:t>
      </w:r>
    </w:p>
    <w:p>
      <w:r>
        <w:rPr>
          <w:rFonts w:ascii="Arial" w:cs="Arial" w:eastAsia="Arial" w:hAnsi="Arial"/>
          <w:color w:val="404040"/>
          <w:sz w:val="22"/>
          <w:szCs w:val="22"/>
        </w:rPr>
        <w:t xml:space="preserve">Voici une liste de risques types fréquemment identifies dans les organisations utilisant l'IA :</w:t>
      </w:r>
    </w:p>
    <w:p>
      <w:pPr>
        <w:pStyle w:val="Heading2"/>
      </w:pPr>
      <w:r>
        <w:t xml:space="preserve">Risques de discrimination et de biais</w:t>
      </w:r>
    </w:p>
    <w:p>
      <w:r>
        <w:rPr>
          <w:rFonts w:ascii="Arial" w:cs="Arial" w:eastAsia="Arial" w:hAnsi="Arial"/>
          <w:color w:val="404040"/>
          <w:sz w:val="22"/>
          <w:szCs w:val="22"/>
        </w:rPr>
        <w:t xml:space="preserve">Les tableaux suivants présentent des exemples de risques de biais dans différents contextes d'usage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200"/>
        <w:gridCol w:w="1200"/>
        <w:gridCol w:w="12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Système IA</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 du risque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probabilité</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de recrutement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de genre : favorisation d'un sexe sur l'autre dans la sélection des candidats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16</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d'octroi de crédit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socioéconomique : refus discriminatoire de crédit baséé sur l'origine ou l'adresse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d'évaluation de performance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dans l'évaluation des employéés cible le même groupe démographique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Modéré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de notation de crédit social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d'age : système moins favorable aux employéés âgés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16</w:t>
            </w:r>
          </w:p>
        </w:tc>
      </w:tr>
    </w:tbl>
    <w:p>
      <w:pPr>
        <w:pStyle w:val="Heading2"/>
      </w:pPr>
      <w:r>
        <w:t xml:space="preserve">Risques de confidentialité et de sécurité</w:t>
      </w:r>
    </w:p>
    <w:p>
      <w:r>
        <w:rPr>
          <w:rFonts w:ascii="Arial" w:cs="Arial" w:eastAsia="Arial" w:hAnsi="Arial"/>
          <w:color w:val="404040"/>
          <w:sz w:val="22"/>
          <w:szCs w:val="22"/>
        </w:rPr>
        <w:t xml:space="preserve">Les risques de confidentialité sont particulièrement importants compte tenu des exigences de la Loi 25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200"/>
        <w:gridCol w:w="1200"/>
        <w:gridCol w:w="12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 de donnee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 du risque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probabilité</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personnelles d'employéés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Divulgation non autorisée via prédictions ou rapports du système 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de clients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extraction de données d'entraînement via attaques d'inversion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Très faible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de santé</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accès non autorisés aux données médicales utilisées en entraînement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financières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Manipulation des prédictions par injection d'adversaires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w:t>
            </w:r>
          </w:p>
        </w:tc>
      </w:tr>
    </w:tbl>
    <w:p>
      <w:pPr>
        <w:pStyle w:val="Heading2"/>
      </w:pPr>
      <w:r>
        <w:t xml:space="preserve">Risques opérationnels et de fiabilité</w:t>
      </w:r>
    </w:p>
    <w:p>
      <w:r>
        <w:rPr>
          <w:rFonts w:ascii="Arial" w:cs="Arial" w:eastAsia="Arial" w:hAnsi="Arial"/>
          <w:color w:val="404040"/>
          <w:sz w:val="22"/>
          <w:szCs w:val="22"/>
        </w:rPr>
        <w:t xml:space="preserve">Les risques opérationnels peuvent affecter la continuité des activités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200"/>
        <w:gridCol w:w="1200"/>
        <w:gridCol w:w="12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contexte opérationnel</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 du risque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probabilité</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de décision automatisée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Dérive du modèle : prédictions moins précises au fil du temps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Modéré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Service critique client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Indisponibilité du système IA pendant plus de 4 heures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Pipeline de données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Corruption ou absence de données nécessaires pour entraîner le modèle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en production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version du modèle non documentée rendant la maintenance impossible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w:t>
            </w:r>
          </w:p>
        </w:tc>
      </w:tr>
    </w:tbl>
    <w:p>
      <w:pPr>
        <w:pStyle w:val="Heading2"/>
      </w:pPr>
      <w:r>
        <w:t xml:space="preserve">Risques de conformité</w:t>
      </w:r>
    </w:p>
    <w:p>
      <w:r>
        <w:rPr>
          <w:rFonts w:ascii="Arial" w:cs="Arial" w:eastAsia="Arial" w:hAnsi="Arial"/>
          <w:color w:val="404040"/>
          <w:sz w:val="22"/>
          <w:szCs w:val="22"/>
        </w:rPr>
        <w:t xml:space="preserve">Les risques de conformité menacent le respect des obligations légales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200"/>
        <w:gridCol w:w="1200"/>
        <w:gridCol w:w="12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Obligation réglementaire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 du risque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probabilité</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absence de consentement explicite pour l'utilisation de données personnelles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absence de mécanisme d'accès/rectification des données utilisées par l'IA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C-27 (LIAD)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utilisation de haut risque non documentée ou non approuvée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Non-conformité aux exigences si clients en 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w:t>
            </w:r>
          </w:p>
        </w:tc>
      </w:tr>
    </w:tbl>
    <w:p>
      <w:pPr>
        <w:spacing w:before="200"/>
      </w:pPr>
    </w:p>
    <w:p>
      <w:pPr>
        <w:pStyle w:val="Heading1"/>
      </w:pPr>
      <w:r>
        <w:t xml:space="preserve">modèle de tableau de bord</w:t>
      </w:r>
    </w:p>
    <w:p>
      <w:r>
        <w:rPr>
          <w:rFonts w:ascii="Arial" w:cs="Arial" w:eastAsia="Arial" w:hAnsi="Arial"/>
          <w:color w:val="404040"/>
          <w:sz w:val="22"/>
          <w:szCs w:val="22"/>
        </w:rPr>
        <w:t xml:space="preserve">Le registre des risques est synthétisé dans un tableau de bord montrant :</w:t>
      </w:r>
    </w:p>
    <w:p>
      <w:pPr>
        <w:pStyle w:val="ListParagraph"/>
        <w:numPr>
          <w:ilvl w:val="0"/>
          <w:numId w:val="2"/>
        </w:numPr>
      </w:pPr>
      <w:r>
        <w:rPr>
          <w:rFonts w:ascii="Arial" w:cs="Arial" w:eastAsia="Arial" w:hAnsi="Arial"/>
          <w:color w:val="404040"/>
          <w:sz w:val="22"/>
          <w:szCs w:val="22"/>
        </w:rPr>
        <w:t xml:space="preserve">Nombre total de risques par etat (identifié, En atténuation, Atténué, Accepte)</w:t>
      </w:r>
    </w:p>
    <w:p>
      <w:pPr>
        <w:pStyle w:val="ListParagraph"/>
        <w:numPr>
          <w:ilvl w:val="0"/>
          <w:numId w:val="2"/>
        </w:numPr>
      </w:pPr>
      <w:r>
        <w:rPr>
          <w:rFonts w:ascii="Arial" w:cs="Arial" w:eastAsia="Arial" w:hAnsi="Arial"/>
          <w:color w:val="404040"/>
          <w:sz w:val="22"/>
          <w:szCs w:val="22"/>
        </w:rPr>
        <w:t xml:space="preserve">Nombre de risques par catégorie</w:t>
      </w:r>
    </w:p>
    <w:p>
      <w:pPr>
        <w:pStyle w:val="ListParagraph"/>
        <w:numPr>
          <w:ilvl w:val="0"/>
          <w:numId w:val="2"/>
        </w:numPr>
      </w:pPr>
      <w:r>
        <w:rPr>
          <w:rFonts w:ascii="Arial" w:cs="Arial" w:eastAsia="Arial" w:hAnsi="Arial"/>
          <w:color w:val="404040"/>
          <w:sz w:val="22"/>
          <w:szCs w:val="22"/>
        </w:rPr>
        <w:t xml:space="preserve">Distribution des niveaux de risque (scorecard couleur)</w:t>
      </w:r>
    </w:p>
    <w:p>
      <w:pPr>
        <w:pStyle w:val="ListParagraph"/>
        <w:numPr>
          <w:ilvl w:val="0"/>
          <w:numId w:val="2"/>
        </w:numPr>
      </w:pPr>
      <w:r>
        <w:rPr>
          <w:rFonts w:ascii="Arial" w:cs="Arial" w:eastAsia="Arial" w:hAnsi="Arial"/>
          <w:color w:val="404040"/>
          <w:sz w:val="22"/>
          <w:szCs w:val="22"/>
        </w:rPr>
        <w:t xml:space="preserve">Evolution des risques sur 12 mois</w:t>
      </w:r>
    </w:p>
    <w:p>
      <w:pPr>
        <w:pStyle w:val="ListParagraph"/>
        <w:numPr>
          <w:ilvl w:val="0"/>
          <w:numId w:val="2"/>
        </w:numPr>
      </w:pPr>
      <w:r>
        <w:rPr>
          <w:rFonts w:ascii="Arial" w:cs="Arial" w:eastAsia="Arial" w:hAnsi="Arial"/>
          <w:color w:val="404040"/>
          <w:sz w:val="22"/>
          <w:szCs w:val="22"/>
        </w:rPr>
        <w:t xml:space="preserve">Risques dépassant les seuils de tolérance</w:t>
      </w:r>
    </w:p>
    <w:p>
      <w:pPr>
        <w:spacing w:before="200"/>
      </w:pPr>
    </w:p>
    <w:p>
      <w:pPr>
        <w:pStyle w:val="Heading1"/>
      </w:pPr>
      <w:r>
        <w:t xml:space="preserve">processus de gestion du registre</w:t>
      </w:r>
    </w:p>
    <w:p>
      <w:pPr>
        <w:pStyle w:val="ListParagraph"/>
        <w:numPr>
          <w:ilvl w:val="0"/>
          <w:numId w:val="3"/>
        </w:numPr>
      </w:pPr>
      <w:r>
        <w:rPr>
          <w:rFonts w:ascii="Arial" w:cs="Arial" w:eastAsia="Arial" w:hAnsi="Arial"/>
          <w:color w:val="404040"/>
          <w:sz w:val="22"/>
          <w:szCs w:val="22"/>
        </w:rPr>
        <w:t xml:space="preserve">Le propriétaire du système IA identifié les risques et les documente dans le registre</w:t>
      </w:r>
    </w:p>
    <w:p>
      <w:pPr>
        <w:pStyle w:val="ListParagraph"/>
        <w:numPr>
          <w:ilvl w:val="0"/>
          <w:numId w:val="3"/>
        </w:numPr>
      </w:pPr>
      <w:r>
        <w:rPr>
          <w:rFonts w:ascii="Arial" w:cs="Arial" w:eastAsia="Arial" w:hAnsi="Arial"/>
          <w:color w:val="404040"/>
          <w:sz w:val="22"/>
          <w:szCs w:val="22"/>
        </w:rPr>
        <w:t xml:space="preserve">Le responsable des risques IA effectue un screening initial et classifie les risques</w:t>
      </w:r>
    </w:p>
    <w:p>
      <w:pPr>
        <w:pStyle w:val="ListParagraph"/>
        <w:numPr>
          <w:ilvl w:val="0"/>
          <w:numId w:val="3"/>
        </w:numPr>
      </w:pPr>
      <w:r>
        <w:rPr>
          <w:rFonts w:ascii="Arial" w:cs="Arial" w:eastAsia="Arial" w:hAnsi="Arial"/>
          <w:color w:val="404040"/>
          <w:sz w:val="22"/>
          <w:szCs w:val="22"/>
        </w:rPr>
        <w:t xml:space="preserve">Pour les risques significatifs, une réunion d'atténuation est organisee avec les parties prenantes</w:t>
      </w:r>
    </w:p>
    <w:p>
      <w:pPr>
        <w:pStyle w:val="ListParagraph"/>
        <w:numPr>
          <w:ilvl w:val="0"/>
          <w:numId w:val="3"/>
        </w:numPr>
      </w:pPr>
      <w:r>
        <w:rPr>
          <w:rFonts w:ascii="Arial" w:cs="Arial" w:eastAsia="Arial" w:hAnsi="Arial"/>
          <w:color w:val="404040"/>
          <w:sz w:val="22"/>
          <w:szCs w:val="22"/>
        </w:rPr>
        <w:t xml:space="preserve">Les mesures d'atténuation sont planifiées et documentées avec dates et propriétaires</w:t>
      </w:r>
    </w:p>
    <w:p>
      <w:pPr>
        <w:pStyle w:val="ListParagraph"/>
        <w:numPr>
          <w:ilvl w:val="0"/>
          <w:numId w:val="3"/>
        </w:numPr>
      </w:pPr>
      <w:r>
        <w:rPr>
          <w:rFonts w:ascii="Arial" w:cs="Arial" w:eastAsia="Arial" w:hAnsi="Arial"/>
          <w:color w:val="404040"/>
          <w:sz w:val="22"/>
          <w:szCs w:val="22"/>
        </w:rPr>
        <w:t xml:space="preserve">Un suivi trimestriel vérifie l'avancement des mesures et recalcule le niveau de risque résiduel</w:t>
      </w:r>
    </w:p>
    <w:p>
      <w:pPr>
        <w:pStyle w:val="ListParagraph"/>
        <w:numPr>
          <w:ilvl w:val="0"/>
          <w:numId w:val="3"/>
        </w:numPr>
      </w:pPr>
      <w:r>
        <w:rPr>
          <w:rFonts w:ascii="Arial" w:cs="Arial" w:eastAsia="Arial" w:hAnsi="Arial"/>
          <w:color w:val="404040"/>
          <w:sz w:val="22"/>
          <w:szCs w:val="22"/>
        </w:rPr>
        <w:t xml:space="preserve">Les risques residuels dépassant les seuils de tolérance sont escaladées au comite de gouvernance IA</w:t>
      </w:r>
    </w:p>
    <w:p>
      <w:pPr>
        <w:pStyle w:val="ListParagraph"/>
        <w:numPr>
          <w:ilvl w:val="0"/>
          <w:numId w:val="3"/>
        </w:numPr>
      </w:pPr>
      <w:r>
        <w:rPr>
          <w:rFonts w:ascii="Arial" w:cs="Arial" w:eastAsia="Arial" w:hAnsi="Arial"/>
          <w:color w:val="404040"/>
          <w:sz w:val="22"/>
          <w:szCs w:val="22"/>
        </w:rPr>
        <w:t xml:space="preserve">Le registre est révisé annuellement et présenté au comite de gouvernance</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trimestrielle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registre des risques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2026-03-05T02:24:49.122Z</dcterms:created>
  <dcterms:modified xsi:type="dcterms:W3CDTF">2026-03-05T02:24:49.122Z</dcterms:modified>
</cp:coreProperties>
</file>

<file path=docProps/custom.xml><?xml version="1.0" encoding="utf-8"?>
<Properties xmlns="http://schemas.openxmlformats.org/officeDocument/2006/custom-properties" xmlns:vt="http://schemas.openxmlformats.org/officeDocument/2006/docPropsVTypes"/>
</file>